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F43FF" w14:textId="074A4CD6" w:rsidR="007A5B38" w:rsidRPr="000C5734" w:rsidRDefault="000C5734" w:rsidP="007A5B38">
      <w:pPr>
        <w:pStyle w:val="3GPPHeader"/>
        <w:rPr>
          <w:highlight w:val="yellow"/>
          <w:lang w:val="en-US"/>
        </w:rPr>
      </w:pPr>
      <w:r w:rsidRPr="000C5734">
        <w:rPr>
          <w:lang w:val="en-US"/>
        </w:rPr>
        <w:t>3GPP TSG RAN WG1 Meeting AH 1801</w:t>
      </w:r>
      <w:r w:rsidR="007A5B38" w:rsidRPr="000C5734">
        <w:rPr>
          <w:lang w:val="en-US"/>
        </w:rPr>
        <w:tab/>
      </w:r>
      <w:r w:rsidRPr="003C57C5">
        <w:rPr>
          <w:lang w:val="en-US"/>
        </w:rPr>
        <w:t>R1-180</w:t>
      </w:r>
      <w:r w:rsidR="000A45A1">
        <w:rPr>
          <w:lang w:val="en-US"/>
        </w:rPr>
        <w:t>1143</w:t>
      </w:r>
    </w:p>
    <w:p w14:paraId="161050DA" w14:textId="568526F3" w:rsidR="007A5B38" w:rsidRPr="007679B0" w:rsidRDefault="000C5734" w:rsidP="007A5B38">
      <w:pPr>
        <w:pStyle w:val="3GPPHeader"/>
        <w:rPr>
          <w:lang w:val="en-US"/>
        </w:rPr>
      </w:pPr>
      <w:r w:rsidRPr="000C5734">
        <w:rPr>
          <w:lang w:val="en-US"/>
        </w:rPr>
        <w:t xml:space="preserve">Vancouver, Canada, </w:t>
      </w:r>
      <w:r w:rsidR="00831EDF">
        <w:rPr>
          <w:lang w:val="en-US"/>
        </w:rPr>
        <w:t>22</w:t>
      </w:r>
      <w:r w:rsidR="00831EDF" w:rsidRPr="00831EDF">
        <w:rPr>
          <w:vertAlign w:val="superscript"/>
          <w:lang w:val="en-US"/>
        </w:rPr>
        <w:t>nd</w:t>
      </w:r>
      <w:r w:rsidR="00831EDF">
        <w:rPr>
          <w:lang w:val="en-US"/>
        </w:rPr>
        <w:t xml:space="preserve"> – 26</w:t>
      </w:r>
      <w:r w:rsidR="00831EDF" w:rsidRPr="00831EDF">
        <w:rPr>
          <w:vertAlign w:val="superscript"/>
          <w:lang w:val="en-US"/>
        </w:rPr>
        <w:t>th</w:t>
      </w:r>
      <w:r w:rsidR="00831EDF">
        <w:rPr>
          <w:lang w:val="en-US"/>
        </w:rPr>
        <w:t xml:space="preserve"> January</w:t>
      </w:r>
      <w:r w:rsidRPr="000C5734">
        <w:rPr>
          <w:lang w:val="en-US"/>
        </w:rPr>
        <w:t>, 2018</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1990C65D" w14:textId="53BA0C9D" w:rsidR="00831EDF" w:rsidRPr="00327997" w:rsidRDefault="003D3C45" w:rsidP="00327997">
      <w:pPr>
        <w:pStyle w:val="3GPPHeader"/>
      </w:pPr>
      <w:r w:rsidRPr="00327997">
        <w:t>Title:</w:t>
      </w:r>
      <w:r w:rsidR="00E90E49" w:rsidRPr="00327997">
        <w:tab/>
      </w:r>
      <w:r w:rsidR="005951D4">
        <w:t xml:space="preserve">Feature lead summary </w:t>
      </w:r>
      <w:r w:rsidR="007F71B9">
        <w:t>2</w:t>
      </w:r>
      <w:r w:rsidR="00A12588">
        <w:t xml:space="preserve"> </w:t>
      </w:r>
      <w:r w:rsidR="005951D4">
        <w:t>of beam m</w:t>
      </w:r>
      <w:r w:rsidR="00831EDF">
        <w:t>easurement and reporting</w:t>
      </w:r>
    </w:p>
    <w:p w14:paraId="2D554DE3" w14:textId="063CECF8" w:rsidR="00952A24" w:rsidRPr="00327997" w:rsidRDefault="00952A24" w:rsidP="00327997">
      <w:pPr>
        <w:pStyle w:val="3GPPHeader"/>
      </w:pPr>
      <w:r w:rsidRPr="00327997">
        <w:t>Agenda Item:</w:t>
      </w:r>
      <w:r w:rsidRPr="00327997">
        <w:tab/>
      </w:r>
      <w:r w:rsidR="00CD0D9B" w:rsidRPr="00831EDF">
        <w:t>7.2</w:t>
      </w:r>
      <w:r w:rsidR="00831EDF" w:rsidRPr="00831EDF">
        <w:t>.2.3</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710697D0" w14:textId="59CA7E7A" w:rsidR="006C490D" w:rsidRDefault="00831EDF" w:rsidP="00831EDF">
      <w:bookmarkStart w:id="0" w:name="_Ref178064866"/>
      <w:r w:rsidRPr="00A03586">
        <w:t xml:space="preserve">This document </w:t>
      </w:r>
      <w:r w:rsidR="003F4CCC">
        <w:t xml:space="preserve">contains the feature lead summary of </w:t>
      </w:r>
      <w:proofErr w:type="spellStart"/>
      <w:r w:rsidR="003F4CCC">
        <w:t>Tdocs</w:t>
      </w:r>
      <w:proofErr w:type="spellEnd"/>
      <w:r w:rsidR="003F4CCC">
        <w:t xml:space="preserve"> submitted under Agenda Item 7.2.2.3 Beam measurement and reporting. Proposals are grouped into those having RRC parameter impact, meaning a new RRC parameter is needed or a value range requires modification, and those not having RRC parameter impact. A list of </w:t>
      </w:r>
      <w:proofErr w:type="spellStart"/>
      <w:r w:rsidR="003F4CCC">
        <w:t>Tdocs</w:t>
      </w:r>
      <w:proofErr w:type="spellEnd"/>
      <w:r w:rsidR="003F4CCC">
        <w:t xml:space="preserve"> containing text proposals is provided where the TPs are grouped by spec number and section number.</w:t>
      </w:r>
    </w:p>
    <w:bookmarkEnd w:id="0"/>
    <w:p w14:paraId="3CB8F8BC" w14:textId="63132F3F" w:rsidR="004000E8" w:rsidRDefault="003F4CCC" w:rsidP="00CE0424">
      <w:pPr>
        <w:pStyle w:val="Heading1"/>
      </w:pPr>
      <w:r>
        <w:t>Summary of open issues with RRC parameter impact</w:t>
      </w:r>
    </w:p>
    <w:p w14:paraId="72086FF8" w14:textId="4F3D713F" w:rsidR="003F4CCC" w:rsidRDefault="003F4CCC" w:rsidP="003F4CCC">
      <w:r>
        <w:t>In this section, open issues with RRC parameter impact are summarized. For the purposes of this document, RRC parameter impact is defined as an issue that requires a new RRC parameter or modification of a value range for an existing parameter.</w:t>
      </w:r>
    </w:p>
    <w:p w14:paraId="032E666A" w14:textId="03CB859E" w:rsidR="00553456" w:rsidRDefault="00553456" w:rsidP="00553456">
      <w:pPr>
        <w:pStyle w:val="Heading2"/>
      </w:pPr>
      <w:r>
        <w:t>Beam reporting</w:t>
      </w:r>
      <w:r w:rsidR="00D7033B">
        <w:t xml:space="preserve"> configuration</w:t>
      </w:r>
    </w:p>
    <w:p w14:paraId="538AB29A" w14:textId="399856B0" w:rsidR="001965C2" w:rsidRDefault="001965C2" w:rsidP="001965C2">
      <w:r>
        <w:t>The following agreement was made in RAN1#90:</w:t>
      </w:r>
    </w:p>
    <w:p w14:paraId="59235FAB" w14:textId="77777777" w:rsidR="001965C2" w:rsidRPr="00875E26" w:rsidRDefault="001965C2" w:rsidP="00583BC0">
      <w:pPr>
        <w:numPr>
          <w:ilvl w:val="0"/>
          <w:numId w:val="19"/>
        </w:numPr>
        <w:tabs>
          <w:tab w:val="left" w:pos="1440"/>
        </w:tabs>
        <w:overflowPunct/>
        <w:autoSpaceDE/>
        <w:autoSpaceDN/>
        <w:adjustRightInd/>
        <w:spacing w:after="0"/>
        <w:jc w:val="left"/>
        <w:textAlignment w:val="auto"/>
        <w:rPr>
          <w:rFonts w:eastAsia="MS Mincho"/>
          <w:lang w:val="en-US" w:eastAsia="ja-JP"/>
        </w:rPr>
      </w:pPr>
      <w:r w:rsidRPr="00875E26">
        <w:rPr>
          <w:rFonts w:eastAsia="MS Mincho"/>
          <w:lang w:eastAsia="ja-JP"/>
        </w:rPr>
        <w:t>Support L1-RSRP reporting of measurements on SS block for beam management procedures</w:t>
      </w:r>
    </w:p>
    <w:p w14:paraId="3D1A1BC2" w14:textId="77777777" w:rsidR="001965C2" w:rsidRPr="00875E26" w:rsidRDefault="001965C2" w:rsidP="00583BC0">
      <w:pPr>
        <w:numPr>
          <w:ilvl w:val="0"/>
          <w:numId w:val="19"/>
        </w:numPr>
        <w:tabs>
          <w:tab w:val="left" w:pos="1440"/>
        </w:tabs>
        <w:overflowPunct/>
        <w:autoSpaceDE/>
        <w:autoSpaceDN/>
        <w:adjustRightInd/>
        <w:spacing w:after="0"/>
        <w:jc w:val="left"/>
        <w:textAlignment w:val="auto"/>
        <w:rPr>
          <w:rFonts w:eastAsia="MS Mincho"/>
          <w:lang w:val="en-US" w:eastAsia="ja-JP"/>
        </w:rPr>
      </w:pPr>
      <w:r w:rsidRPr="00875E26">
        <w:rPr>
          <w:rFonts w:eastAsia="MS Mincho"/>
          <w:lang w:eastAsia="ja-JP"/>
        </w:rPr>
        <w:t>The following configurations for L1-RSRP reporting for beam management are supported</w:t>
      </w:r>
      <w:r>
        <w:rPr>
          <w:rFonts w:eastAsia="MS Mincho" w:hint="eastAsia"/>
          <w:lang w:eastAsia="ja-JP"/>
        </w:rPr>
        <w:t xml:space="preserve"> </w:t>
      </w:r>
    </w:p>
    <w:p w14:paraId="2DA7A5E3" w14:textId="77777777" w:rsidR="001965C2" w:rsidRPr="00875E26" w:rsidRDefault="001965C2" w:rsidP="00583BC0">
      <w:pPr>
        <w:numPr>
          <w:ilvl w:val="1"/>
          <w:numId w:val="19"/>
        </w:numPr>
        <w:tabs>
          <w:tab w:val="left" w:pos="1440"/>
        </w:tabs>
        <w:overflowPunct/>
        <w:autoSpaceDE/>
        <w:autoSpaceDN/>
        <w:adjustRightInd/>
        <w:spacing w:after="0"/>
        <w:jc w:val="left"/>
        <w:textAlignment w:val="auto"/>
        <w:rPr>
          <w:rFonts w:eastAsia="MS Mincho"/>
          <w:lang w:val="en-US" w:eastAsia="ja-JP"/>
        </w:rPr>
      </w:pPr>
      <w:r w:rsidRPr="00875E26">
        <w:rPr>
          <w:rFonts w:eastAsia="MS Mincho"/>
          <w:lang w:eastAsia="ja-JP"/>
        </w:rPr>
        <w:t>SS block only</w:t>
      </w:r>
      <w:r>
        <w:rPr>
          <w:rFonts w:eastAsia="MS Mincho" w:hint="eastAsia"/>
          <w:lang w:eastAsia="ja-JP"/>
        </w:rPr>
        <w:t xml:space="preserve"> (with mandatory support by UE)</w:t>
      </w:r>
    </w:p>
    <w:p w14:paraId="1393C916" w14:textId="77777777" w:rsidR="001965C2" w:rsidRPr="00875E26" w:rsidRDefault="001965C2" w:rsidP="00583BC0">
      <w:pPr>
        <w:numPr>
          <w:ilvl w:val="1"/>
          <w:numId w:val="19"/>
        </w:numPr>
        <w:tabs>
          <w:tab w:val="left" w:pos="1440"/>
        </w:tabs>
        <w:overflowPunct/>
        <w:autoSpaceDE/>
        <w:autoSpaceDN/>
        <w:adjustRightInd/>
        <w:spacing w:after="0"/>
        <w:jc w:val="left"/>
        <w:textAlignment w:val="auto"/>
        <w:rPr>
          <w:rFonts w:eastAsia="MS Mincho"/>
          <w:lang w:val="en-US" w:eastAsia="ja-JP"/>
        </w:rPr>
      </w:pPr>
      <w:r w:rsidRPr="00875E26">
        <w:rPr>
          <w:rFonts w:eastAsia="MS Mincho"/>
          <w:lang w:eastAsia="ja-JP"/>
        </w:rPr>
        <w:t>CSI-RS only</w:t>
      </w:r>
      <w:r>
        <w:rPr>
          <w:rFonts w:eastAsia="MS Mincho" w:hint="eastAsia"/>
          <w:lang w:eastAsia="ja-JP"/>
        </w:rPr>
        <w:t xml:space="preserve"> (with mandatory support by UE)</w:t>
      </w:r>
    </w:p>
    <w:p w14:paraId="27961FBE" w14:textId="77777777" w:rsidR="001965C2" w:rsidRPr="00875E26" w:rsidRDefault="001965C2" w:rsidP="00583BC0">
      <w:pPr>
        <w:numPr>
          <w:ilvl w:val="1"/>
          <w:numId w:val="19"/>
        </w:numPr>
        <w:tabs>
          <w:tab w:val="left" w:pos="1440"/>
        </w:tabs>
        <w:overflowPunct/>
        <w:autoSpaceDE/>
        <w:autoSpaceDN/>
        <w:adjustRightInd/>
        <w:spacing w:after="0"/>
        <w:jc w:val="left"/>
        <w:textAlignment w:val="auto"/>
        <w:rPr>
          <w:rFonts w:eastAsia="MS Mincho"/>
          <w:lang w:val="en-US" w:eastAsia="ja-JP"/>
        </w:rPr>
      </w:pPr>
      <w:r w:rsidRPr="00875E26">
        <w:rPr>
          <w:rFonts w:eastAsia="MS Mincho"/>
          <w:lang w:eastAsia="ja-JP"/>
        </w:rPr>
        <w:t>SS block + CSI-RS</w:t>
      </w:r>
      <w:r>
        <w:rPr>
          <w:rFonts w:eastAsia="MS Mincho" w:hint="eastAsia"/>
          <w:lang w:eastAsia="ja-JP"/>
        </w:rPr>
        <w:t xml:space="preserve"> independent L1 RSRP reporting</w:t>
      </w:r>
    </w:p>
    <w:p w14:paraId="454C9231" w14:textId="5ECB1500" w:rsidR="001965C2" w:rsidRDefault="001965C2" w:rsidP="00583BC0">
      <w:pPr>
        <w:numPr>
          <w:ilvl w:val="2"/>
          <w:numId w:val="19"/>
        </w:numPr>
        <w:tabs>
          <w:tab w:val="left" w:pos="1440"/>
        </w:tabs>
        <w:overflowPunct/>
        <w:autoSpaceDE/>
        <w:autoSpaceDN/>
        <w:adjustRightInd/>
        <w:spacing w:after="0"/>
        <w:jc w:val="left"/>
        <w:textAlignment w:val="auto"/>
        <w:rPr>
          <w:rFonts w:eastAsia="MS Mincho"/>
          <w:lang w:val="en-US" w:eastAsia="ja-JP"/>
        </w:rPr>
      </w:pPr>
      <w:r w:rsidRPr="00875E26">
        <w:rPr>
          <w:rFonts w:eastAsia="MS Mincho"/>
          <w:lang w:val="en-US" w:eastAsia="ja-JP"/>
        </w:rPr>
        <w:t>Joint L1-RSRP using QCL-</w:t>
      </w:r>
      <w:proofErr w:type="spellStart"/>
      <w:r w:rsidRPr="00875E26">
        <w:rPr>
          <w:rFonts w:eastAsia="MS Mincho"/>
          <w:lang w:val="en-US" w:eastAsia="ja-JP"/>
        </w:rPr>
        <w:t>ed</w:t>
      </w:r>
      <w:proofErr w:type="spellEnd"/>
      <w:r w:rsidRPr="00875E26">
        <w:rPr>
          <w:rFonts w:eastAsia="MS Mincho"/>
          <w:lang w:val="en-US" w:eastAsia="ja-JP"/>
        </w:rPr>
        <w:t xml:space="preserve"> SS-block + CSI-RS is optionally supported by UE</w:t>
      </w:r>
      <w:r>
        <w:rPr>
          <w:rFonts w:eastAsia="MS Mincho" w:hint="eastAsia"/>
          <w:lang w:val="en-US" w:eastAsia="ja-JP"/>
        </w:rPr>
        <w:t xml:space="preserve"> (with </w:t>
      </w:r>
      <w:r>
        <w:rPr>
          <w:rFonts w:eastAsia="MS Mincho"/>
          <w:lang w:val="en-US" w:eastAsia="ja-JP"/>
        </w:rPr>
        <w:t>optionally</w:t>
      </w:r>
      <w:r>
        <w:rPr>
          <w:rFonts w:eastAsia="MS Mincho" w:hint="eastAsia"/>
          <w:lang w:val="en-US" w:eastAsia="ja-JP"/>
        </w:rPr>
        <w:t xml:space="preserve"> support by UE)</w:t>
      </w:r>
    </w:p>
    <w:p w14:paraId="2FF18781" w14:textId="3AA08517" w:rsidR="00C201C5" w:rsidRDefault="00C201C5" w:rsidP="00C201C5">
      <w:pPr>
        <w:tabs>
          <w:tab w:val="left" w:pos="1440"/>
        </w:tabs>
        <w:overflowPunct/>
        <w:autoSpaceDE/>
        <w:autoSpaceDN/>
        <w:adjustRightInd/>
        <w:spacing w:after="0"/>
        <w:jc w:val="left"/>
        <w:textAlignment w:val="auto"/>
        <w:rPr>
          <w:rFonts w:eastAsia="MS Mincho"/>
          <w:lang w:val="en-US" w:eastAsia="ja-JP"/>
        </w:rPr>
      </w:pPr>
    </w:p>
    <w:p w14:paraId="3602F4C8" w14:textId="0161634A" w:rsidR="00C201C5" w:rsidRDefault="00C201C5" w:rsidP="00C201C5">
      <w:pPr>
        <w:tabs>
          <w:tab w:val="left" w:pos="1440"/>
        </w:tabs>
        <w:overflowPunct/>
        <w:autoSpaceDE/>
        <w:autoSpaceDN/>
        <w:adjustRightInd/>
        <w:spacing w:after="0"/>
        <w:jc w:val="left"/>
        <w:textAlignment w:val="auto"/>
      </w:pPr>
      <w:r>
        <w:rPr>
          <w:rFonts w:eastAsia="MS Mincho"/>
          <w:lang w:val="en-US" w:eastAsia="ja-JP"/>
        </w:rPr>
        <w:t xml:space="preserve">Note: currently supported value range for the </w:t>
      </w:r>
      <w:r>
        <w:t xml:space="preserve">RRC parameter </w:t>
      </w:r>
      <w:proofErr w:type="spellStart"/>
      <w:r w:rsidRPr="006D3A0E">
        <w:rPr>
          <w:i/>
        </w:rPr>
        <w:t>ReportQuantity</w:t>
      </w:r>
      <w:proofErr w:type="spellEnd"/>
      <w:r>
        <w:t xml:space="preserve"> is the following</w:t>
      </w:r>
      <w:r w:rsidR="003C40CC">
        <w:t xml:space="preserve"> </w:t>
      </w:r>
      <w:r w:rsidR="003C40CC">
        <w:fldChar w:fldCharType="begin"/>
      </w:r>
      <w:r w:rsidR="003C40CC">
        <w:instrText xml:space="preserve"> REF _Ref504104744 \r \h </w:instrText>
      </w:r>
      <w:r w:rsidR="003C40CC">
        <w:fldChar w:fldCharType="separate"/>
      </w:r>
      <w:r w:rsidR="003C40CC">
        <w:t>[1]</w:t>
      </w:r>
      <w:r w:rsidR="003C40CC">
        <w:fldChar w:fldCharType="end"/>
      </w:r>
      <w:r>
        <w:t>:</w:t>
      </w:r>
    </w:p>
    <w:p w14:paraId="5668B070" w14:textId="2CDFA6E3" w:rsidR="00391307" w:rsidRDefault="00C201C5" w:rsidP="00583BC0">
      <w:pPr>
        <w:pStyle w:val="ListParagraph"/>
        <w:numPr>
          <w:ilvl w:val="0"/>
          <w:numId w:val="21"/>
        </w:numPr>
        <w:tabs>
          <w:tab w:val="left" w:pos="1440"/>
        </w:tabs>
        <w:spacing w:after="0"/>
      </w:pPr>
      <w:r w:rsidRPr="00C201C5">
        <w:t>{No Report, CRI/RI/PMI/CQI,  CRI/RI/i1, CRI/RI/i1/CQI, CRI/RI/CQI, CRI/RSRP, SSB index/RSRP, CRI/RI/LI/PMI/CQI}</w:t>
      </w:r>
    </w:p>
    <w:p w14:paraId="0F372566" w14:textId="77777777" w:rsidR="00C201C5" w:rsidRPr="001965C2" w:rsidRDefault="00C201C5" w:rsidP="00C201C5">
      <w:pPr>
        <w:pStyle w:val="BodyText"/>
      </w:pPr>
    </w:p>
    <w:p w14:paraId="29CEE24A" w14:textId="66FA2B91" w:rsidR="0057061D" w:rsidRDefault="001965C2" w:rsidP="0057061D">
      <w:r>
        <w:t xml:space="preserve">The following proposals (paraphrased) appear in the </w:t>
      </w:r>
      <w:proofErr w:type="spellStart"/>
      <w:r>
        <w:t>Tdocs</w:t>
      </w:r>
      <w:proofErr w:type="spellEnd"/>
      <w:r>
        <w:t xml:space="preserve"> related to </w:t>
      </w:r>
      <w:r w:rsidR="00C201C5">
        <w:t>the above agreement, and beam reporting in general</w:t>
      </w:r>
    </w:p>
    <w:p w14:paraId="571E3452" w14:textId="3F3FE046" w:rsidR="001965C2" w:rsidRDefault="001965C2" w:rsidP="00583BC0">
      <w:pPr>
        <w:pStyle w:val="ListParagraph"/>
        <w:numPr>
          <w:ilvl w:val="0"/>
          <w:numId w:val="20"/>
        </w:numPr>
      </w:pPr>
      <w:r>
        <w:t>(</w:t>
      </w:r>
      <w:r w:rsidRPr="001965C2">
        <w:rPr>
          <w:b/>
        </w:rPr>
        <w:t>Huawei</w:t>
      </w:r>
      <w:r>
        <w:t xml:space="preserve">) </w:t>
      </w:r>
      <w:r w:rsidRPr="001965C2">
        <w:t xml:space="preserve">Support additional value range setting for </w:t>
      </w:r>
      <w:r w:rsidR="00C201C5">
        <w:t xml:space="preserve">the RRC parameter </w:t>
      </w:r>
      <w:proofErr w:type="spellStart"/>
      <w:r w:rsidR="00C201C5" w:rsidRPr="006D3A0E">
        <w:rPr>
          <w:i/>
        </w:rPr>
        <w:t>ReportQuantity</w:t>
      </w:r>
      <w:proofErr w:type="spellEnd"/>
      <w:r w:rsidR="00C201C5" w:rsidRPr="001965C2">
        <w:t xml:space="preserve"> </w:t>
      </w:r>
      <w:r w:rsidRPr="001965C2">
        <w:t>to {SSBID or CSI-RS}/RSRP</w:t>
      </w:r>
    </w:p>
    <w:p w14:paraId="4E94804F" w14:textId="5B8A8635" w:rsidR="001965C2" w:rsidRDefault="001965C2" w:rsidP="00583BC0">
      <w:pPr>
        <w:pStyle w:val="ListParagraph"/>
        <w:numPr>
          <w:ilvl w:val="0"/>
          <w:numId w:val="20"/>
        </w:numPr>
      </w:pPr>
      <w:r>
        <w:t>(</w:t>
      </w:r>
      <w:r w:rsidRPr="006D3A0E">
        <w:rPr>
          <w:b/>
        </w:rPr>
        <w:t>Nokia</w:t>
      </w:r>
      <w:r>
        <w:t xml:space="preserve">) Introduce </w:t>
      </w:r>
      <w:r w:rsidRPr="001965C2">
        <w:t>RRC parameter to inform UE to report on both SSB and CSI-RS</w:t>
      </w:r>
    </w:p>
    <w:p w14:paraId="6C4B7EA3" w14:textId="4B524997" w:rsidR="00C201C5" w:rsidRDefault="00C201C5" w:rsidP="00583BC0">
      <w:pPr>
        <w:pStyle w:val="ListParagraph"/>
        <w:numPr>
          <w:ilvl w:val="0"/>
          <w:numId w:val="20"/>
        </w:numPr>
      </w:pPr>
      <w:r>
        <w:t>(</w:t>
      </w:r>
      <w:r w:rsidRPr="00C201C5">
        <w:rPr>
          <w:b/>
        </w:rPr>
        <w:t>Nokia</w:t>
      </w:r>
      <w:r>
        <w:t xml:space="preserve">) Introduce </w:t>
      </w:r>
      <w:r w:rsidRPr="00C201C5">
        <w:t>RRC parameter to inform UE to identify strongest SSB/CSI-RS resource pairs</w:t>
      </w:r>
    </w:p>
    <w:p w14:paraId="61FC5E71" w14:textId="379A1681" w:rsidR="00C201C5" w:rsidRDefault="00C201C5" w:rsidP="00583BC0">
      <w:pPr>
        <w:pStyle w:val="ListParagraph"/>
        <w:numPr>
          <w:ilvl w:val="0"/>
          <w:numId w:val="20"/>
        </w:numPr>
      </w:pPr>
      <w:r>
        <w:t>(</w:t>
      </w:r>
      <w:r w:rsidRPr="00C201C5">
        <w:rPr>
          <w:b/>
        </w:rPr>
        <w:t>Nokia</w:t>
      </w:r>
      <w:r>
        <w:t>)</w:t>
      </w:r>
      <w:r w:rsidRPr="00C201C5">
        <w:t xml:space="preserve"> </w:t>
      </w:r>
      <w:r>
        <w:t xml:space="preserve">Introduce </w:t>
      </w:r>
      <w:r w:rsidRPr="00C201C5">
        <w:t xml:space="preserve">RRC parameter to inform UE about reported </w:t>
      </w:r>
      <w:proofErr w:type="spellStart"/>
      <w:r w:rsidRPr="00C201C5">
        <w:t>QCL'd</w:t>
      </w:r>
      <w:proofErr w:type="spellEnd"/>
      <w:r w:rsidRPr="00C201C5">
        <w:t xml:space="preserve"> SSB/CSI-RS resource pairs</w:t>
      </w:r>
    </w:p>
    <w:p w14:paraId="2902A302" w14:textId="040EBC9E" w:rsidR="001965C2" w:rsidRDefault="006D3A0E" w:rsidP="00583BC0">
      <w:pPr>
        <w:pStyle w:val="ListParagraph"/>
        <w:numPr>
          <w:ilvl w:val="0"/>
          <w:numId w:val="20"/>
        </w:numPr>
      </w:pPr>
      <w:r>
        <w:t>(</w:t>
      </w:r>
      <w:proofErr w:type="spellStart"/>
      <w:r w:rsidRPr="006D3A0E">
        <w:rPr>
          <w:b/>
        </w:rPr>
        <w:t>Oppo</w:t>
      </w:r>
      <w:proofErr w:type="spellEnd"/>
      <w:r>
        <w:t>) Add</w:t>
      </w:r>
      <w:r w:rsidRPr="006D3A0E">
        <w:t xml:space="preserve"> 'CRI/RSRP and/or SSB index/RSRP' as another value of </w:t>
      </w:r>
      <w:r>
        <w:t xml:space="preserve">the RRC parameter </w:t>
      </w:r>
      <w:proofErr w:type="spellStart"/>
      <w:r w:rsidRPr="006D3A0E">
        <w:rPr>
          <w:i/>
        </w:rPr>
        <w:t>ReportQuantity</w:t>
      </w:r>
      <w:proofErr w:type="spellEnd"/>
    </w:p>
    <w:p w14:paraId="4466BDBC" w14:textId="4117C036" w:rsidR="006D3A0E" w:rsidRDefault="006D3A0E" w:rsidP="00583BC0">
      <w:pPr>
        <w:pStyle w:val="ListParagraph"/>
        <w:numPr>
          <w:ilvl w:val="0"/>
          <w:numId w:val="20"/>
        </w:numPr>
      </w:pPr>
      <w:r>
        <w:t>(</w:t>
      </w:r>
      <w:r w:rsidRPr="006D3A0E">
        <w:rPr>
          <w:b/>
        </w:rPr>
        <w:t>vivo</w:t>
      </w:r>
      <w:r>
        <w:t xml:space="preserve">) </w:t>
      </w:r>
      <w:r w:rsidRPr="006D3A0E">
        <w:t xml:space="preserve">Support joint reporting when </w:t>
      </w:r>
      <w:r w:rsidR="00C201C5">
        <w:t xml:space="preserve">the RRC parameter </w:t>
      </w:r>
      <w:proofErr w:type="spellStart"/>
      <w:r w:rsidR="00C201C5" w:rsidRPr="006D3A0E">
        <w:rPr>
          <w:i/>
        </w:rPr>
        <w:t>ReportQuantity</w:t>
      </w:r>
      <w:proofErr w:type="spellEnd"/>
      <w:r w:rsidR="00C201C5" w:rsidRPr="006D3A0E">
        <w:t xml:space="preserve"> </w:t>
      </w:r>
      <w:r w:rsidRPr="006D3A0E">
        <w:t>set to SSBRI-RSRP</w:t>
      </w:r>
    </w:p>
    <w:p w14:paraId="7B7D60E7" w14:textId="0F60EBBD" w:rsidR="006D3A0E" w:rsidRDefault="006D3A0E" w:rsidP="00583BC0">
      <w:pPr>
        <w:pStyle w:val="ListParagraph"/>
        <w:numPr>
          <w:ilvl w:val="0"/>
          <w:numId w:val="20"/>
        </w:numPr>
      </w:pPr>
      <w:r>
        <w:t>(</w:t>
      </w:r>
      <w:r w:rsidRPr="006D3A0E">
        <w:rPr>
          <w:b/>
        </w:rPr>
        <w:t>ZTE</w:t>
      </w:r>
      <w:r>
        <w:t xml:space="preserve">) </w:t>
      </w:r>
      <w:r w:rsidRPr="006D3A0E">
        <w:t xml:space="preserve">Support additional value range setting for </w:t>
      </w:r>
      <w:r>
        <w:t xml:space="preserve">the RRC parameter </w:t>
      </w:r>
      <w:proofErr w:type="spellStart"/>
      <w:r w:rsidRPr="006D3A0E">
        <w:rPr>
          <w:i/>
        </w:rPr>
        <w:t>ReportQuantity</w:t>
      </w:r>
      <w:proofErr w:type="spellEnd"/>
      <w:r w:rsidRPr="006D3A0E">
        <w:t xml:space="preserve"> </w:t>
      </w:r>
      <w:r>
        <w:t>as</w:t>
      </w:r>
      <w:r w:rsidRPr="006D3A0E">
        <w:t xml:space="preserve"> {SSBID-CSI-RS}/RSRP</w:t>
      </w:r>
    </w:p>
    <w:p w14:paraId="070E2555" w14:textId="74B14F63" w:rsidR="006800A1" w:rsidRDefault="006800A1" w:rsidP="00583BC0">
      <w:pPr>
        <w:pStyle w:val="ListParagraph"/>
        <w:numPr>
          <w:ilvl w:val="0"/>
          <w:numId w:val="20"/>
        </w:numPr>
      </w:pPr>
      <w:r w:rsidRPr="00A56037">
        <w:rPr>
          <w:b/>
        </w:rPr>
        <w:t>(ZTE)</w:t>
      </w:r>
      <w:r>
        <w:t xml:space="preserve"> </w:t>
      </w:r>
      <w:r w:rsidRPr="009C4B1C">
        <w:rPr>
          <w:rFonts w:eastAsia="Microsoft YaHei"/>
          <w:szCs w:val="20"/>
        </w:rPr>
        <w:t xml:space="preserve">The </w:t>
      </w:r>
      <w:r>
        <w:rPr>
          <w:rFonts w:eastAsia="Microsoft YaHei"/>
          <w:szCs w:val="20"/>
        </w:rPr>
        <w:t>name of higher layer parameter “</w:t>
      </w:r>
      <w:r w:rsidRPr="00482055">
        <w:rPr>
          <w:rFonts w:eastAsia="Microsoft YaHei"/>
          <w:i/>
          <w:szCs w:val="20"/>
        </w:rPr>
        <w:t>NZP-CSI-RS-</w:t>
      </w:r>
      <w:proofErr w:type="spellStart"/>
      <w:r w:rsidRPr="00482055">
        <w:rPr>
          <w:rFonts w:eastAsia="Microsoft YaHei"/>
          <w:i/>
          <w:szCs w:val="20"/>
        </w:rPr>
        <w:t>ResourceSetConfigList</w:t>
      </w:r>
      <w:proofErr w:type="spellEnd"/>
      <w:r>
        <w:rPr>
          <w:rFonts w:eastAsia="Microsoft YaHei"/>
          <w:szCs w:val="20"/>
        </w:rPr>
        <w:t>” is replaced by “</w:t>
      </w:r>
      <w:proofErr w:type="spellStart"/>
      <w:r w:rsidRPr="00482055">
        <w:rPr>
          <w:rFonts w:eastAsia="Microsoft YaHei"/>
          <w:i/>
          <w:szCs w:val="20"/>
        </w:rPr>
        <w:t>ResourceSetConfigList</w:t>
      </w:r>
      <w:proofErr w:type="spellEnd"/>
      <w:r>
        <w:rPr>
          <w:rFonts w:eastAsia="Microsoft YaHei"/>
          <w:szCs w:val="20"/>
        </w:rPr>
        <w:t xml:space="preserve">”, which can contain </w:t>
      </w:r>
      <w:r w:rsidRPr="00A56037">
        <w:t>both</w:t>
      </w:r>
      <w:r>
        <w:rPr>
          <w:rFonts w:eastAsia="Microsoft YaHei"/>
          <w:szCs w:val="20"/>
        </w:rPr>
        <w:t xml:space="preserve"> CSI-R</w:t>
      </w:r>
      <w:r w:rsidRPr="00A56037">
        <w:t>S</w:t>
      </w:r>
      <w:r>
        <w:rPr>
          <w:rFonts w:eastAsia="Microsoft YaHei"/>
          <w:szCs w:val="20"/>
        </w:rPr>
        <w:t xml:space="preserve"> resources</w:t>
      </w:r>
      <w:r w:rsidRPr="00336BDC">
        <w:rPr>
          <w:color w:val="000000"/>
          <w:szCs w:val="20"/>
        </w:rPr>
        <w:t xml:space="preserve"> (higher layer parameter</w:t>
      </w:r>
      <w:r w:rsidRPr="00336BDC">
        <w:rPr>
          <w:i/>
          <w:color w:val="000000"/>
          <w:szCs w:val="20"/>
        </w:rPr>
        <w:t xml:space="preserve"> NZP-CSI-RS-</w:t>
      </w:r>
      <w:proofErr w:type="spellStart"/>
      <w:r w:rsidRPr="00336BDC">
        <w:rPr>
          <w:i/>
          <w:color w:val="000000"/>
          <w:szCs w:val="20"/>
        </w:rPr>
        <w:t>ResourceConfigList</w:t>
      </w:r>
      <w:proofErr w:type="spellEnd"/>
      <w:r w:rsidRPr="009C4B1C">
        <w:rPr>
          <w:color w:val="000000"/>
          <w:szCs w:val="20"/>
        </w:rPr>
        <w:t xml:space="preserve">) and </w:t>
      </w:r>
      <w:r>
        <w:rPr>
          <w:color w:val="000000"/>
          <w:szCs w:val="20"/>
        </w:rPr>
        <w:t xml:space="preserve">SS/PDCH resources used for L1-RSRP computation </w:t>
      </w:r>
      <w:r w:rsidRPr="00336BDC">
        <w:rPr>
          <w:color w:val="000000"/>
          <w:szCs w:val="20"/>
        </w:rPr>
        <w:t xml:space="preserve">(higher layer </w:t>
      </w:r>
      <w:proofErr w:type="spellStart"/>
      <w:r w:rsidRPr="00336BDC">
        <w:rPr>
          <w:color w:val="000000"/>
          <w:szCs w:val="20"/>
        </w:rPr>
        <w:t>parameter</w:t>
      </w:r>
      <w:r w:rsidRPr="00336BDC">
        <w:rPr>
          <w:i/>
          <w:color w:val="000000"/>
          <w:szCs w:val="20"/>
        </w:rPr>
        <w:t>SSBResourceMeasList</w:t>
      </w:r>
      <w:proofErr w:type="spellEnd"/>
      <w:r>
        <w:rPr>
          <w:i/>
          <w:color w:val="000000"/>
          <w:szCs w:val="20"/>
        </w:rPr>
        <w:t>)</w:t>
      </w:r>
    </w:p>
    <w:p w14:paraId="144078B2" w14:textId="738279CA" w:rsidR="00C201C5" w:rsidRDefault="00C201C5" w:rsidP="00583BC0">
      <w:pPr>
        <w:pStyle w:val="ListParagraph"/>
        <w:numPr>
          <w:ilvl w:val="0"/>
          <w:numId w:val="20"/>
        </w:numPr>
      </w:pPr>
      <w:r>
        <w:lastRenderedPageBreak/>
        <w:t>(</w:t>
      </w:r>
      <w:proofErr w:type="spellStart"/>
      <w:r w:rsidRPr="003A40B6">
        <w:rPr>
          <w:b/>
        </w:rPr>
        <w:t>MediaTek</w:t>
      </w:r>
      <w:proofErr w:type="spellEnd"/>
      <w:r>
        <w:t xml:space="preserve">) </w:t>
      </w:r>
      <w:r w:rsidRPr="00C201C5">
        <w:t xml:space="preserve">Support CSI reporting for P3, where </w:t>
      </w:r>
      <w:r w:rsidR="003A40B6">
        <w:t xml:space="preserve">the RRC parameter </w:t>
      </w:r>
      <w:proofErr w:type="spellStart"/>
      <w:r w:rsidR="003A40B6" w:rsidRPr="006D3A0E">
        <w:rPr>
          <w:i/>
        </w:rPr>
        <w:t>ReportQuantity</w:t>
      </w:r>
      <w:proofErr w:type="spellEnd"/>
      <w:r w:rsidR="003A40B6" w:rsidRPr="006D3A0E">
        <w:t xml:space="preserve"> </w:t>
      </w:r>
      <w:r w:rsidR="003A40B6">
        <w:t xml:space="preserve">is </w:t>
      </w:r>
      <w:r w:rsidRPr="00C201C5">
        <w:t>configurable between CRI/RI/PMI/CQI and RI/PMI/CQI</w:t>
      </w:r>
    </w:p>
    <w:p w14:paraId="6F871F62" w14:textId="60FBB5BD" w:rsidR="003A40B6" w:rsidRDefault="003A40B6" w:rsidP="00583BC0">
      <w:pPr>
        <w:pStyle w:val="ListParagraph"/>
        <w:numPr>
          <w:ilvl w:val="0"/>
          <w:numId w:val="20"/>
        </w:numPr>
      </w:pPr>
      <w:r>
        <w:t>(</w:t>
      </w:r>
      <w:r w:rsidRPr="003A40B6">
        <w:rPr>
          <w:b/>
        </w:rPr>
        <w:t>Qualcomm</w:t>
      </w:r>
      <w:r>
        <w:t xml:space="preserve">) </w:t>
      </w:r>
      <w:r w:rsidRPr="003A40B6">
        <w:t>For beam management UE is not expected to report quantities other than CRI/SSBID/RSRP</w:t>
      </w:r>
    </w:p>
    <w:p w14:paraId="32405C5F" w14:textId="56938FCC" w:rsidR="00A56037" w:rsidRPr="00A937C2" w:rsidRDefault="00493946" w:rsidP="003C394C">
      <w:pPr>
        <w:pStyle w:val="ListParagraph"/>
        <w:numPr>
          <w:ilvl w:val="0"/>
          <w:numId w:val="20"/>
        </w:numPr>
      </w:pPr>
      <w:r>
        <w:t>(</w:t>
      </w:r>
      <w:r w:rsidRPr="00493946">
        <w:rPr>
          <w:b/>
        </w:rPr>
        <w:t>Ericsson</w:t>
      </w:r>
      <w:r>
        <w:t>) Support CSI reporting for P3. I</w:t>
      </w:r>
      <w:r w:rsidR="002F5472">
        <w:t xml:space="preserve">nclude value RI/PMI/CQI for the RRC parameter </w:t>
      </w:r>
      <w:proofErr w:type="spellStart"/>
      <w:r w:rsidR="002F5472" w:rsidRPr="006D3A0E">
        <w:rPr>
          <w:i/>
        </w:rPr>
        <w:t>ReportQuantity</w:t>
      </w:r>
      <w:proofErr w:type="spellEnd"/>
      <w:r w:rsidR="002F5472">
        <w:rPr>
          <w:i/>
        </w:rPr>
        <w:t>.</w:t>
      </w:r>
      <w:bookmarkStart w:id="1" w:name="_Hlk504106589"/>
    </w:p>
    <w:p w14:paraId="770C403C" w14:textId="7A075B1A" w:rsidR="001B3ECC" w:rsidRDefault="000A45A1" w:rsidP="003C394C">
      <w:pPr>
        <w:rPr>
          <w:b/>
        </w:rPr>
      </w:pPr>
      <w:r>
        <w:rPr>
          <w:b/>
        </w:rPr>
        <w:t>Proposal:</w:t>
      </w:r>
    </w:p>
    <w:p w14:paraId="14B3A781" w14:textId="6B5676F0" w:rsidR="00AB5A84" w:rsidRPr="00AB5A84" w:rsidRDefault="000A45A1" w:rsidP="00AB5A84">
      <w:pPr>
        <w:pStyle w:val="ListParagraph"/>
        <w:numPr>
          <w:ilvl w:val="0"/>
          <w:numId w:val="41"/>
        </w:numPr>
        <w:rPr>
          <w:highlight w:val="yellow"/>
        </w:rPr>
      </w:pPr>
      <w:r>
        <w:rPr>
          <w:highlight w:val="yellow"/>
        </w:rPr>
        <w:t xml:space="preserve">Further offline discussion on </w:t>
      </w:r>
      <w:r w:rsidRPr="000A45A1">
        <w:rPr>
          <w:rFonts w:eastAsia="MS Mincho"/>
          <w:highlight w:val="yellow"/>
          <w:lang w:val="en-US"/>
        </w:rPr>
        <w:t>Joint L1-RSRP using QCL-</w:t>
      </w:r>
      <w:proofErr w:type="spellStart"/>
      <w:r w:rsidRPr="000A45A1">
        <w:rPr>
          <w:rFonts w:eastAsia="MS Mincho"/>
          <w:highlight w:val="yellow"/>
          <w:lang w:val="en-US"/>
        </w:rPr>
        <w:t>ed</w:t>
      </w:r>
      <w:proofErr w:type="spellEnd"/>
      <w:r w:rsidRPr="000A45A1">
        <w:rPr>
          <w:rFonts w:eastAsia="MS Mincho"/>
          <w:highlight w:val="yellow"/>
          <w:lang w:val="en-US"/>
        </w:rPr>
        <w:t xml:space="preserve"> SS-block + CSI-RS (optionally supported by UE):</w:t>
      </w:r>
    </w:p>
    <w:p w14:paraId="6F1DBBE9" w14:textId="77777777" w:rsidR="00AB5A84" w:rsidRPr="00AB5A84" w:rsidRDefault="00AB5A84" w:rsidP="00AB5A84">
      <w:pPr>
        <w:ind w:left="360"/>
        <w:rPr>
          <w:rFonts w:eastAsia="SimSun"/>
          <w:highlight w:val="yellow"/>
        </w:rPr>
      </w:pPr>
    </w:p>
    <w:p w14:paraId="77252F6B" w14:textId="77777777" w:rsidR="00AB5A84" w:rsidRPr="00AB5A84" w:rsidRDefault="00AB5A84" w:rsidP="00AB5A84">
      <w:pPr>
        <w:pStyle w:val="ListParagraph"/>
        <w:numPr>
          <w:ilvl w:val="0"/>
          <w:numId w:val="41"/>
        </w:numPr>
        <w:rPr>
          <w:highlight w:val="yellow"/>
        </w:rPr>
      </w:pPr>
      <w:r>
        <w:rPr>
          <w:rFonts w:eastAsia="MS Mincho"/>
          <w:highlight w:val="yellow"/>
          <w:lang w:val="en-US"/>
        </w:rPr>
        <w:t>From previous-on-line discussion:</w:t>
      </w:r>
    </w:p>
    <w:p w14:paraId="3E4E85E2" w14:textId="4515ADED" w:rsidR="000A45A1" w:rsidRPr="000A45A1" w:rsidRDefault="000A45A1" w:rsidP="00AB5A84">
      <w:pPr>
        <w:pStyle w:val="ListParagraph"/>
        <w:numPr>
          <w:ilvl w:val="1"/>
          <w:numId w:val="41"/>
        </w:numPr>
        <w:rPr>
          <w:highlight w:val="yellow"/>
        </w:rPr>
      </w:pPr>
      <w:r w:rsidRPr="000A45A1">
        <w:rPr>
          <w:rFonts w:eastAsia="MS Mincho"/>
          <w:highlight w:val="yellow"/>
          <w:lang w:val="en-US"/>
        </w:rPr>
        <w:t xml:space="preserve">No new value for RRC parameter </w:t>
      </w:r>
      <w:proofErr w:type="spellStart"/>
      <w:r w:rsidRPr="000A45A1">
        <w:rPr>
          <w:rFonts w:eastAsia="MS Mincho"/>
          <w:i/>
          <w:highlight w:val="yellow"/>
          <w:lang w:val="en-US"/>
        </w:rPr>
        <w:t>ReportQuanity</w:t>
      </w:r>
      <w:proofErr w:type="spellEnd"/>
    </w:p>
    <w:p w14:paraId="02244657" w14:textId="6AA72CB1" w:rsidR="00AB5A84" w:rsidRDefault="000A45A1" w:rsidP="00AB5A84">
      <w:pPr>
        <w:pStyle w:val="ListParagraph"/>
        <w:numPr>
          <w:ilvl w:val="2"/>
          <w:numId w:val="41"/>
        </w:numPr>
        <w:rPr>
          <w:highlight w:val="yellow"/>
        </w:rPr>
      </w:pPr>
      <w:r w:rsidRPr="000A45A1">
        <w:rPr>
          <w:highlight w:val="yellow"/>
        </w:rPr>
        <w:t>UE cannot be configured with both SSB and CSI-RS for a given measurement set</w:t>
      </w:r>
    </w:p>
    <w:p w14:paraId="5F7D439B" w14:textId="77777777" w:rsidR="00AB5A84" w:rsidRPr="00AB5A84" w:rsidRDefault="00AB5A84" w:rsidP="00AB5A84">
      <w:pPr>
        <w:ind w:left="360"/>
        <w:rPr>
          <w:highlight w:val="yellow"/>
        </w:rPr>
      </w:pPr>
    </w:p>
    <w:p w14:paraId="04484819" w14:textId="21A99776" w:rsidR="000A45A1" w:rsidRDefault="000A45A1" w:rsidP="000A45A1">
      <w:pPr>
        <w:pStyle w:val="ListParagraph"/>
        <w:numPr>
          <w:ilvl w:val="0"/>
          <w:numId w:val="41"/>
        </w:numPr>
        <w:rPr>
          <w:rFonts w:cs="Times"/>
          <w:szCs w:val="20"/>
          <w:highlight w:val="yellow"/>
        </w:rPr>
      </w:pPr>
      <w:r w:rsidRPr="001353FC">
        <w:rPr>
          <w:rFonts w:cs="Times"/>
          <w:szCs w:val="20"/>
          <w:highlight w:val="yellow"/>
        </w:rPr>
        <w:t>Issues to resolve:</w:t>
      </w:r>
    </w:p>
    <w:p w14:paraId="28FF7278" w14:textId="3016D188" w:rsidR="00AB5A84" w:rsidRDefault="00AB5A84" w:rsidP="00AB5A84">
      <w:pPr>
        <w:pStyle w:val="ListParagraph"/>
        <w:numPr>
          <w:ilvl w:val="1"/>
          <w:numId w:val="41"/>
        </w:numPr>
        <w:rPr>
          <w:rFonts w:cs="Times"/>
          <w:szCs w:val="20"/>
          <w:highlight w:val="yellow"/>
        </w:rPr>
      </w:pPr>
      <w:r>
        <w:rPr>
          <w:rFonts w:cs="Times"/>
          <w:szCs w:val="20"/>
          <w:highlight w:val="yellow"/>
        </w:rPr>
        <w:t>Configurability of joint reporting</w:t>
      </w:r>
    </w:p>
    <w:p w14:paraId="767109AC" w14:textId="5FE1C6C8" w:rsidR="00AB5A84" w:rsidRDefault="00AB5A84" w:rsidP="00AB5A84">
      <w:pPr>
        <w:pStyle w:val="ListParagraph"/>
        <w:numPr>
          <w:ilvl w:val="2"/>
          <w:numId w:val="41"/>
        </w:numPr>
        <w:rPr>
          <w:rFonts w:cs="Times"/>
          <w:szCs w:val="20"/>
          <w:highlight w:val="yellow"/>
        </w:rPr>
      </w:pPr>
      <w:r>
        <w:rPr>
          <w:rFonts w:cs="Times"/>
          <w:szCs w:val="20"/>
          <w:highlight w:val="yellow"/>
        </w:rPr>
        <w:t>New RRC parameter or addition of value range to existing RRC parameter</w:t>
      </w:r>
    </w:p>
    <w:p w14:paraId="20779183" w14:textId="77777777" w:rsidR="00AB5A84" w:rsidRPr="00AB5A84" w:rsidRDefault="00AB5A84" w:rsidP="00AB5A84">
      <w:pPr>
        <w:pStyle w:val="ListParagraph"/>
        <w:numPr>
          <w:ilvl w:val="2"/>
          <w:numId w:val="41"/>
        </w:numPr>
        <w:spacing w:after="0"/>
        <w:rPr>
          <w:highlight w:val="yellow"/>
        </w:rPr>
      </w:pPr>
      <w:r w:rsidRPr="00AB5A84">
        <w:rPr>
          <w:highlight w:val="yellow"/>
        </w:rPr>
        <w:t>From 38.215:</w:t>
      </w:r>
    </w:p>
    <w:p w14:paraId="5067501E" w14:textId="7046E4B0" w:rsidR="00AB5A84" w:rsidRPr="00AB5A84" w:rsidRDefault="00AB5A84" w:rsidP="00AB5A84">
      <w:pPr>
        <w:pStyle w:val="TAL"/>
        <w:numPr>
          <w:ilvl w:val="3"/>
          <w:numId w:val="41"/>
        </w:numPr>
        <w:rPr>
          <w:highlight w:val="yellow"/>
        </w:rPr>
      </w:pPr>
      <w:r w:rsidRPr="00AB5A84">
        <w:rPr>
          <w:highlight w:val="yellow"/>
        </w:rPr>
        <w:t xml:space="preserve">For SS-RSRP determination demodulation reference signals for physical broadcast channel (PBCH) and, </w:t>
      </w:r>
      <w:r w:rsidRPr="00AB5A84">
        <w:rPr>
          <w:highlight w:val="cyan"/>
        </w:rPr>
        <w:t>if indicated by higher layers</w:t>
      </w:r>
      <w:r w:rsidRPr="00AB5A84">
        <w:rPr>
          <w:highlight w:val="yellow"/>
        </w:rPr>
        <w:t>, CSI reference signals in addition to secondary synchronization signals may be used. SS-RSRP using demodulation reference signal for PBCH or CSI reference signal shall be measured by linear averaging over the power contributions of the resource elements that carry corresponding reference signals taking into account power scaling for the reference signals as defined in 3GPP TS 38.213 [5].</w:t>
      </w:r>
    </w:p>
    <w:p w14:paraId="2C3C4DD8" w14:textId="77777777" w:rsidR="001353FC" w:rsidRPr="001353FC" w:rsidRDefault="001353FC" w:rsidP="001353FC">
      <w:pPr>
        <w:pStyle w:val="ListParagraph"/>
        <w:numPr>
          <w:ilvl w:val="1"/>
          <w:numId w:val="41"/>
        </w:numPr>
        <w:spacing w:after="0"/>
        <w:contextualSpacing w:val="0"/>
        <w:rPr>
          <w:rFonts w:cs="Times"/>
          <w:szCs w:val="20"/>
          <w:highlight w:val="yellow"/>
          <w:lang w:val="en-US" w:eastAsia="en-US"/>
        </w:rPr>
      </w:pPr>
      <w:r w:rsidRPr="001353FC">
        <w:rPr>
          <w:rFonts w:cs="Times"/>
          <w:szCs w:val="20"/>
          <w:highlight w:val="yellow"/>
          <w:lang w:eastAsia="en-US"/>
        </w:rPr>
        <w:t>How would the NW interpret a measurement if the NW does not know what is measured?</w:t>
      </w:r>
    </w:p>
    <w:p w14:paraId="20831836" w14:textId="77777777" w:rsidR="001353FC" w:rsidRPr="001353FC" w:rsidRDefault="001353FC" w:rsidP="001353FC">
      <w:pPr>
        <w:pStyle w:val="ListParagraph"/>
        <w:numPr>
          <w:ilvl w:val="1"/>
          <w:numId w:val="41"/>
        </w:numPr>
        <w:spacing w:after="0"/>
        <w:contextualSpacing w:val="0"/>
        <w:rPr>
          <w:rFonts w:cs="Times"/>
          <w:szCs w:val="20"/>
          <w:highlight w:val="yellow"/>
          <w:lang w:eastAsia="en-US"/>
        </w:rPr>
      </w:pPr>
      <w:r w:rsidRPr="001353FC">
        <w:rPr>
          <w:rFonts w:cs="Times"/>
          <w:szCs w:val="20"/>
          <w:highlight w:val="yellow"/>
          <w:lang w:eastAsia="en-US"/>
        </w:rPr>
        <w:t xml:space="preserve">How would it limit the CSI-RS transmissions? Note that all CSI-RSs are </w:t>
      </w:r>
      <w:proofErr w:type="spellStart"/>
      <w:r w:rsidRPr="001353FC">
        <w:rPr>
          <w:rFonts w:cs="Times"/>
          <w:szCs w:val="20"/>
          <w:highlight w:val="yellow"/>
          <w:lang w:eastAsia="en-US"/>
        </w:rPr>
        <w:t>QCLed</w:t>
      </w:r>
      <w:proofErr w:type="spellEnd"/>
      <w:r w:rsidRPr="001353FC">
        <w:rPr>
          <w:rFonts w:cs="Times"/>
          <w:szCs w:val="20"/>
          <w:highlight w:val="yellow"/>
          <w:lang w:eastAsia="en-US"/>
        </w:rPr>
        <w:t xml:space="preserve"> with an SSB.</w:t>
      </w:r>
    </w:p>
    <w:p w14:paraId="604480B2" w14:textId="77777777" w:rsidR="001353FC" w:rsidRPr="001353FC" w:rsidRDefault="001353FC" w:rsidP="001353FC">
      <w:pPr>
        <w:pStyle w:val="ListParagraph"/>
        <w:numPr>
          <w:ilvl w:val="1"/>
          <w:numId w:val="41"/>
        </w:numPr>
        <w:spacing w:after="0"/>
        <w:contextualSpacing w:val="0"/>
        <w:rPr>
          <w:rFonts w:cs="Times"/>
          <w:szCs w:val="20"/>
          <w:highlight w:val="yellow"/>
          <w:lang w:eastAsia="en-US"/>
        </w:rPr>
      </w:pPr>
      <w:r w:rsidRPr="001353FC">
        <w:rPr>
          <w:rFonts w:cs="Times"/>
          <w:szCs w:val="20"/>
          <w:highlight w:val="yellow"/>
          <w:lang w:eastAsia="en-US"/>
        </w:rPr>
        <w:t>How could the NW make sure it gets reports of SSB only or CSI-RS only, which should be supported?</w:t>
      </w:r>
    </w:p>
    <w:p w14:paraId="3F0A0588" w14:textId="77777777" w:rsidR="001353FC" w:rsidRPr="001353FC" w:rsidRDefault="001353FC" w:rsidP="001353FC">
      <w:pPr>
        <w:pStyle w:val="ListParagraph"/>
        <w:numPr>
          <w:ilvl w:val="1"/>
          <w:numId w:val="41"/>
        </w:numPr>
        <w:spacing w:after="0"/>
        <w:contextualSpacing w:val="0"/>
        <w:rPr>
          <w:rFonts w:cs="Times"/>
          <w:szCs w:val="20"/>
          <w:highlight w:val="yellow"/>
          <w:lang w:eastAsia="en-US"/>
        </w:rPr>
      </w:pPr>
      <w:r w:rsidRPr="001353FC">
        <w:rPr>
          <w:rFonts w:cs="Times"/>
          <w:szCs w:val="20"/>
          <w:highlight w:val="yellow"/>
          <w:lang w:eastAsia="en-US"/>
        </w:rPr>
        <w:t xml:space="preserve">What value of </w:t>
      </w:r>
      <w:proofErr w:type="spellStart"/>
      <w:r w:rsidRPr="001353FC">
        <w:rPr>
          <w:rFonts w:cs="Times"/>
          <w:i/>
          <w:iCs/>
          <w:szCs w:val="20"/>
          <w:highlight w:val="yellow"/>
          <w:lang w:eastAsia="en-US"/>
        </w:rPr>
        <w:t>ReportQuantity</w:t>
      </w:r>
      <w:proofErr w:type="spellEnd"/>
      <w:r w:rsidRPr="001353FC">
        <w:rPr>
          <w:rFonts w:cs="Times"/>
          <w:i/>
          <w:iCs/>
          <w:szCs w:val="20"/>
          <w:highlight w:val="yellow"/>
          <w:lang w:eastAsia="en-US"/>
        </w:rPr>
        <w:t xml:space="preserve"> </w:t>
      </w:r>
      <w:r w:rsidRPr="001353FC">
        <w:rPr>
          <w:rFonts w:cs="Times"/>
          <w:szCs w:val="20"/>
          <w:highlight w:val="yellow"/>
          <w:lang w:eastAsia="en-US"/>
        </w:rPr>
        <w:t>is to be used for joint reporting: CRI/RSRP or SSB index/RSRP?</w:t>
      </w:r>
    </w:p>
    <w:bookmarkEnd w:id="1"/>
    <w:p w14:paraId="3BA8C910" w14:textId="155E4957" w:rsidR="00553456" w:rsidRDefault="00D7033B" w:rsidP="00553456">
      <w:pPr>
        <w:pStyle w:val="Heading2"/>
      </w:pPr>
      <w:r>
        <w:t>TCI state configuration</w:t>
      </w:r>
    </w:p>
    <w:p w14:paraId="6DA92A8E" w14:textId="77777777" w:rsidR="0076236B" w:rsidRDefault="003C394C" w:rsidP="003C394C">
      <w:r>
        <w:t xml:space="preserve">The following proposals (paraphrased) appear in the </w:t>
      </w:r>
      <w:proofErr w:type="spellStart"/>
      <w:r>
        <w:t>Tdocs</w:t>
      </w:r>
      <w:proofErr w:type="spellEnd"/>
      <w:r>
        <w:t xml:space="preserve"> related to </w:t>
      </w:r>
      <w:r w:rsidR="0076236B">
        <w:t>TCI state configuration</w:t>
      </w:r>
    </w:p>
    <w:p w14:paraId="4FE96785" w14:textId="655DDDA6" w:rsidR="003C394C" w:rsidRDefault="0076236B" w:rsidP="00583BC0">
      <w:pPr>
        <w:pStyle w:val="ListParagraph"/>
        <w:numPr>
          <w:ilvl w:val="0"/>
          <w:numId w:val="22"/>
        </w:numPr>
      </w:pPr>
      <w:r>
        <w:t>(</w:t>
      </w:r>
      <w:r w:rsidRPr="009513B4">
        <w:rPr>
          <w:b/>
        </w:rPr>
        <w:t>AT&amp;T</w:t>
      </w:r>
      <w:r>
        <w:t xml:space="preserve">) </w:t>
      </w:r>
      <w:r w:rsidRPr="0076236B">
        <w:t>TCI states should be configured per BWP - send LS to RAN2</w:t>
      </w:r>
    </w:p>
    <w:p w14:paraId="7DA71B1E" w14:textId="0F6DD668" w:rsidR="0076236B" w:rsidRDefault="0076236B" w:rsidP="00583BC0">
      <w:pPr>
        <w:pStyle w:val="ListParagraph"/>
        <w:numPr>
          <w:ilvl w:val="0"/>
          <w:numId w:val="22"/>
        </w:numPr>
      </w:pPr>
      <w:r>
        <w:t>(</w:t>
      </w:r>
      <w:r w:rsidRPr="009513B4">
        <w:rPr>
          <w:b/>
        </w:rPr>
        <w:t>Docomo</w:t>
      </w:r>
      <w:r>
        <w:t xml:space="preserve">) </w:t>
      </w:r>
      <w:r w:rsidRPr="0076236B">
        <w:t>Configure only single TCI state for CORESET with lowest ID</w:t>
      </w:r>
    </w:p>
    <w:p w14:paraId="69826756" w14:textId="2DF15A86" w:rsidR="0076236B" w:rsidRDefault="0076236B" w:rsidP="00583BC0">
      <w:pPr>
        <w:pStyle w:val="ListParagraph"/>
        <w:numPr>
          <w:ilvl w:val="0"/>
          <w:numId w:val="22"/>
        </w:numPr>
      </w:pPr>
      <w:r>
        <w:t>(</w:t>
      </w:r>
      <w:r w:rsidRPr="009513B4">
        <w:rPr>
          <w:b/>
        </w:rPr>
        <w:t>Ericsson</w:t>
      </w:r>
      <w:r>
        <w:t xml:space="preserve">) </w:t>
      </w:r>
      <w:r w:rsidRPr="0076236B">
        <w:t>RAN1 agreement needed</w:t>
      </w:r>
      <w:r w:rsidR="009513B4">
        <w:t xml:space="preserve"> on maximum number of TCI states</w:t>
      </w:r>
    </w:p>
    <w:p w14:paraId="2C98B6AA" w14:textId="22466EB8" w:rsidR="000A45A1" w:rsidRDefault="0076236B" w:rsidP="000A45A1">
      <w:pPr>
        <w:pStyle w:val="ListParagraph"/>
        <w:numPr>
          <w:ilvl w:val="0"/>
          <w:numId w:val="22"/>
        </w:numPr>
      </w:pPr>
      <w:r>
        <w:t>(</w:t>
      </w:r>
      <w:r w:rsidRPr="009513B4">
        <w:rPr>
          <w:b/>
        </w:rPr>
        <w:t>Interdigital</w:t>
      </w:r>
      <w:r>
        <w:t xml:space="preserve">) </w:t>
      </w:r>
      <w:r w:rsidRPr="0076236B">
        <w:t>TCI state configuration  includes info about QCL assumptions across carriers</w:t>
      </w:r>
    </w:p>
    <w:p w14:paraId="4CECA8C6" w14:textId="0C46B82E" w:rsidR="00FE07F2" w:rsidRPr="00FE07F2" w:rsidRDefault="00FE07F2" w:rsidP="00FE07F2">
      <w:pPr>
        <w:pStyle w:val="text"/>
        <w:spacing w:after="0"/>
        <w:rPr>
          <w:rFonts w:ascii="Times" w:hAnsi="Times" w:cs="Times"/>
          <w:b/>
          <w:sz w:val="20"/>
          <w:lang w:eastAsia="ja-JP"/>
        </w:rPr>
      </w:pPr>
      <w:r w:rsidRPr="00FE07F2">
        <w:rPr>
          <w:rFonts w:ascii="Times" w:hAnsi="Times" w:cs="Times"/>
          <w:b/>
          <w:sz w:val="20"/>
          <w:lang w:eastAsia="ja-JP"/>
        </w:rPr>
        <w:t>Agreement</w:t>
      </w:r>
      <w:r w:rsidRPr="00FE07F2">
        <w:rPr>
          <w:rFonts w:ascii="Times" w:hAnsi="Times" w:cs="Times"/>
          <w:b/>
          <w:sz w:val="20"/>
          <w:lang w:eastAsia="ja-JP"/>
        </w:rPr>
        <w:t xml:space="preserve"> from RAN1#91</w:t>
      </w:r>
      <w:r w:rsidRPr="00FE07F2">
        <w:rPr>
          <w:rFonts w:ascii="Times" w:hAnsi="Times" w:cs="Times"/>
          <w:b/>
          <w:sz w:val="20"/>
          <w:lang w:eastAsia="ja-JP"/>
        </w:rPr>
        <w:t>:</w:t>
      </w:r>
    </w:p>
    <w:p w14:paraId="2E139EDB" w14:textId="77777777" w:rsidR="00FE07F2" w:rsidRPr="00FE07F2" w:rsidRDefault="00FE07F2" w:rsidP="00FE07F2">
      <w:pPr>
        <w:pStyle w:val="bullet1"/>
        <w:rPr>
          <w:rFonts w:ascii="Times" w:hAnsi="Times" w:cs="Times"/>
          <w:sz w:val="20"/>
          <w:szCs w:val="20"/>
          <w:lang w:val="en-US"/>
        </w:rPr>
      </w:pPr>
      <w:r w:rsidRPr="00FE07F2">
        <w:rPr>
          <w:rFonts w:ascii="Times" w:hAnsi="Times" w:cs="Times"/>
          <w:sz w:val="20"/>
          <w:szCs w:val="20"/>
          <w:lang w:val="en-US"/>
        </w:rPr>
        <w:t>A candidate set of DL RSs are configured using RRC mechanism</w:t>
      </w:r>
    </w:p>
    <w:p w14:paraId="41C1F2C1" w14:textId="77777777" w:rsidR="00FE07F2" w:rsidRPr="00FE07F2" w:rsidRDefault="00FE07F2" w:rsidP="00FE07F2">
      <w:pPr>
        <w:pStyle w:val="bullet2"/>
        <w:rPr>
          <w:rFonts w:cs="Times"/>
          <w:sz w:val="20"/>
          <w:szCs w:val="20"/>
          <w:lang w:val="en-US"/>
        </w:rPr>
      </w:pPr>
      <w:r w:rsidRPr="00FE07F2">
        <w:rPr>
          <w:rFonts w:cs="Times"/>
          <w:sz w:val="20"/>
          <w:szCs w:val="20"/>
          <w:lang w:val="en-US"/>
        </w:rPr>
        <w:t>Each state of M TCI states is RRC configured with a downlink RS set used as a QCL reference, and MAC-CE is used to select up to 2^N TCI states out of M for PDSCH QCL indication</w:t>
      </w:r>
    </w:p>
    <w:p w14:paraId="488A9C9F" w14:textId="77777777" w:rsidR="00FE07F2" w:rsidRPr="00FE07F2" w:rsidRDefault="00FE07F2" w:rsidP="00FE07F2">
      <w:pPr>
        <w:pStyle w:val="bullet3"/>
        <w:tabs>
          <w:tab w:val="clear" w:pos="2160"/>
        </w:tabs>
        <w:rPr>
          <w:rFonts w:cs="Times"/>
          <w:szCs w:val="20"/>
          <w:lang w:val="en-US"/>
        </w:rPr>
      </w:pPr>
      <w:r w:rsidRPr="00FE07F2">
        <w:rPr>
          <w:rFonts w:cs="Times"/>
          <w:szCs w:val="20"/>
          <w:lang w:val="en-US"/>
        </w:rPr>
        <w:t>The same set of M TCI states are reused for CORESET</w:t>
      </w:r>
    </w:p>
    <w:p w14:paraId="08A756AF" w14:textId="77777777" w:rsidR="00FE07F2" w:rsidRPr="001353FC" w:rsidRDefault="00FE07F2" w:rsidP="00FE07F2">
      <w:pPr>
        <w:pStyle w:val="bullet3"/>
        <w:tabs>
          <w:tab w:val="clear" w:pos="2160"/>
        </w:tabs>
        <w:rPr>
          <w:rFonts w:cs="Times"/>
          <w:szCs w:val="20"/>
          <w:highlight w:val="yellow"/>
          <w:lang w:val="en-US"/>
        </w:rPr>
      </w:pPr>
      <w:r w:rsidRPr="001353FC">
        <w:rPr>
          <w:rFonts w:cs="Times"/>
          <w:szCs w:val="20"/>
          <w:highlight w:val="yellow"/>
          <w:lang w:val="en-US"/>
        </w:rPr>
        <w:t xml:space="preserve">K TCI states are configured per CORESET </w:t>
      </w:r>
    </w:p>
    <w:p w14:paraId="16B51FAA" w14:textId="77777777" w:rsidR="00FE07F2" w:rsidRPr="00FE07F2" w:rsidRDefault="00FE07F2" w:rsidP="00FE07F2">
      <w:pPr>
        <w:pStyle w:val="bullet3"/>
        <w:tabs>
          <w:tab w:val="clear" w:pos="2160"/>
        </w:tabs>
        <w:rPr>
          <w:rFonts w:cs="Times"/>
          <w:szCs w:val="20"/>
          <w:lang w:val="en-US"/>
        </w:rPr>
      </w:pPr>
      <w:r w:rsidRPr="00FE07F2">
        <w:rPr>
          <w:rFonts w:cs="Times"/>
          <w:szCs w:val="20"/>
          <w:lang w:val="en-US"/>
        </w:rPr>
        <w:t>When K&gt;1, MAC CE can indicate which one TCI state to use for control channel QCL indication</w:t>
      </w:r>
    </w:p>
    <w:p w14:paraId="3D8C770D" w14:textId="77777777" w:rsidR="00FE07F2" w:rsidRPr="00FE07F2" w:rsidRDefault="00FE07F2" w:rsidP="00FE07F2">
      <w:pPr>
        <w:pStyle w:val="bullet3"/>
        <w:tabs>
          <w:tab w:val="clear" w:pos="2160"/>
        </w:tabs>
        <w:rPr>
          <w:rFonts w:cs="Times"/>
          <w:szCs w:val="20"/>
          <w:lang w:val="en-US"/>
        </w:rPr>
      </w:pPr>
      <w:r w:rsidRPr="00FE07F2">
        <w:rPr>
          <w:rFonts w:cs="Times"/>
          <w:szCs w:val="20"/>
          <w:lang w:val="en-US"/>
        </w:rPr>
        <w:t>When K=1, no additional MAC CE signaling is necessary</w:t>
      </w:r>
    </w:p>
    <w:p w14:paraId="031259FF" w14:textId="6FEA4732" w:rsidR="00CE17DE" w:rsidRDefault="00CE17DE" w:rsidP="00CE17DE"/>
    <w:p w14:paraId="09BA3B82" w14:textId="56A97F5F" w:rsidR="00E454BF" w:rsidRDefault="00FE07F2" w:rsidP="00CE17DE">
      <w:r w:rsidRPr="00FE07F2">
        <w:rPr>
          <w:b/>
        </w:rPr>
        <w:t>Proposal</w:t>
      </w:r>
      <w:r>
        <w:t>:</w:t>
      </w:r>
    </w:p>
    <w:p w14:paraId="5AF05BD6" w14:textId="2141B979" w:rsidR="00FE07F2" w:rsidRDefault="00FE07F2" w:rsidP="00FE07F2">
      <w:pPr>
        <w:pStyle w:val="ListParagraph"/>
        <w:numPr>
          <w:ilvl w:val="0"/>
          <w:numId w:val="49"/>
        </w:numPr>
        <w:rPr>
          <w:highlight w:val="yellow"/>
        </w:rPr>
      </w:pPr>
      <w:r>
        <w:rPr>
          <w:highlight w:val="yellow"/>
        </w:rPr>
        <w:t xml:space="preserve">Maximum number of candidate TCI states configured per CORESET is </w:t>
      </w:r>
      <w:proofErr w:type="spellStart"/>
      <w:r>
        <w:rPr>
          <w:highlight w:val="yellow"/>
        </w:rPr>
        <w:t>K_max</w:t>
      </w:r>
      <w:proofErr w:type="spellEnd"/>
      <w:r>
        <w:rPr>
          <w:highlight w:val="yellow"/>
        </w:rPr>
        <w:t>. Down-select to one of the following two alternatives:</w:t>
      </w:r>
    </w:p>
    <w:p w14:paraId="7175081B" w14:textId="04738A58" w:rsidR="00FE07F2" w:rsidRDefault="00FE07F2" w:rsidP="00FE07F2">
      <w:pPr>
        <w:pStyle w:val="ListParagraph"/>
        <w:numPr>
          <w:ilvl w:val="1"/>
          <w:numId w:val="49"/>
        </w:numPr>
        <w:rPr>
          <w:highlight w:val="yellow"/>
        </w:rPr>
      </w:pPr>
      <w:r>
        <w:rPr>
          <w:highlight w:val="yellow"/>
        </w:rPr>
        <w:lastRenderedPageBreak/>
        <w:t xml:space="preserve">Alt-1: </w:t>
      </w:r>
      <w:proofErr w:type="spellStart"/>
      <w:r>
        <w:rPr>
          <w:highlight w:val="yellow"/>
        </w:rPr>
        <w:t>K_max</w:t>
      </w:r>
      <w:proofErr w:type="spellEnd"/>
      <w:r>
        <w:rPr>
          <w:highlight w:val="yellow"/>
        </w:rPr>
        <w:t xml:space="preserve"> = M</w:t>
      </w:r>
    </w:p>
    <w:p w14:paraId="5F8F0B83" w14:textId="2E3B3DE7" w:rsidR="00FE07F2" w:rsidRDefault="00FE07F2" w:rsidP="00FE07F2">
      <w:pPr>
        <w:pStyle w:val="ListParagraph"/>
        <w:numPr>
          <w:ilvl w:val="1"/>
          <w:numId w:val="49"/>
        </w:numPr>
        <w:rPr>
          <w:highlight w:val="yellow"/>
        </w:rPr>
      </w:pPr>
      <w:r>
        <w:rPr>
          <w:highlight w:val="yellow"/>
        </w:rPr>
        <w:t xml:space="preserve">Alt-2: </w:t>
      </w:r>
      <w:proofErr w:type="spellStart"/>
      <w:r>
        <w:rPr>
          <w:highlight w:val="yellow"/>
        </w:rPr>
        <w:t>K_max</w:t>
      </w:r>
      <w:proofErr w:type="spellEnd"/>
      <w:r>
        <w:rPr>
          <w:highlight w:val="yellow"/>
        </w:rPr>
        <w:t xml:space="preserve"> &lt; M</w:t>
      </w:r>
    </w:p>
    <w:p w14:paraId="23761D5C" w14:textId="427D22B9" w:rsidR="00E454BF" w:rsidRPr="00FE07F2" w:rsidRDefault="00FE07F2" w:rsidP="00CE17DE">
      <w:pPr>
        <w:pStyle w:val="ListParagraph"/>
        <w:numPr>
          <w:ilvl w:val="2"/>
          <w:numId w:val="49"/>
        </w:numPr>
        <w:rPr>
          <w:highlight w:val="yellow"/>
        </w:rPr>
      </w:pPr>
      <w:r>
        <w:rPr>
          <w:highlight w:val="yellow"/>
        </w:rPr>
        <w:t xml:space="preserve">FFS: value of </w:t>
      </w:r>
      <w:proofErr w:type="spellStart"/>
      <w:r>
        <w:rPr>
          <w:highlight w:val="yellow"/>
        </w:rPr>
        <w:t>K_max</w:t>
      </w:r>
      <w:proofErr w:type="spellEnd"/>
    </w:p>
    <w:p w14:paraId="04D619DE" w14:textId="77777777" w:rsidR="00493946" w:rsidRDefault="00493946" w:rsidP="00493946">
      <w:pPr>
        <w:pStyle w:val="Heading2"/>
      </w:pPr>
      <w:r>
        <w:t>CSI &amp; Beam management framework</w:t>
      </w:r>
    </w:p>
    <w:p w14:paraId="1C0A4991" w14:textId="74F10A87" w:rsidR="00493946" w:rsidRDefault="00493946" w:rsidP="00583BC0">
      <w:pPr>
        <w:pStyle w:val="ListParagraph"/>
        <w:numPr>
          <w:ilvl w:val="0"/>
          <w:numId w:val="30"/>
        </w:numPr>
      </w:pPr>
      <w:r>
        <w:t>(</w:t>
      </w:r>
      <w:r w:rsidRPr="00493946">
        <w:rPr>
          <w:b/>
        </w:rPr>
        <w:t>Huawei</w:t>
      </w:r>
      <w:r>
        <w:t xml:space="preserve">) </w:t>
      </w:r>
      <w:r w:rsidRPr="00E52642">
        <w:t>Support triggering multiple CSI-RS resource sets with different triggering offsets X in single triggering state</w:t>
      </w:r>
      <w:r>
        <w:t xml:space="preserve">. </w:t>
      </w:r>
      <w:r w:rsidRPr="00493946">
        <w:t>For beam management, support multiple CSI-RS resource sets with repetition = "ON"</w:t>
      </w:r>
    </w:p>
    <w:p w14:paraId="53599CD2" w14:textId="77777777" w:rsidR="00493946" w:rsidRDefault="00493946" w:rsidP="00583BC0">
      <w:pPr>
        <w:pStyle w:val="ListParagraph"/>
        <w:numPr>
          <w:ilvl w:val="0"/>
          <w:numId w:val="30"/>
        </w:numPr>
      </w:pPr>
      <w:r>
        <w:t>(</w:t>
      </w:r>
      <w:r w:rsidRPr="00493946">
        <w:rPr>
          <w:b/>
        </w:rPr>
        <w:t>ZTE</w:t>
      </w:r>
      <w:r>
        <w:t>)</w:t>
      </w:r>
      <w:r w:rsidRPr="00E52642">
        <w:t xml:space="preserve"> Support triggering multiple CSI-RS resource sets in single </w:t>
      </w:r>
      <w:r>
        <w:t>DCI</w:t>
      </w:r>
      <w:r w:rsidRPr="00E52642">
        <w:t>. Support feedback of multiple CRIs.</w:t>
      </w:r>
    </w:p>
    <w:p w14:paraId="2FE1F776" w14:textId="04AE83D2" w:rsidR="00493946" w:rsidRDefault="00493946" w:rsidP="00583BC0">
      <w:pPr>
        <w:pStyle w:val="ListParagraph"/>
        <w:numPr>
          <w:ilvl w:val="0"/>
          <w:numId w:val="30"/>
        </w:numPr>
      </w:pPr>
      <w:r>
        <w:t>(</w:t>
      </w:r>
      <w:r w:rsidRPr="00493946">
        <w:rPr>
          <w:b/>
        </w:rPr>
        <w:t>CATT</w:t>
      </w:r>
      <w:r>
        <w:t xml:space="preserve">) If multiple resource sets for beam management supported in Rel-15, then </w:t>
      </w:r>
      <w:r w:rsidRPr="00493946">
        <w:t>support multiple CSI-RS resource</w:t>
      </w:r>
      <w:r>
        <w:t xml:space="preserve"> sets with repetition = "ON"</w:t>
      </w:r>
    </w:p>
    <w:p w14:paraId="3603C77C" w14:textId="4A0B102C" w:rsidR="00493946" w:rsidRDefault="00493946" w:rsidP="00583BC0">
      <w:pPr>
        <w:pStyle w:val="ListParagraph"/>
        <w:numPr>
          <w:ilvl w:val="0"/>
          <w:numId w:val="30"/>
        </w:numPr>
      </w:pPr>
      <w:r>
        <w:t>(</w:t>
      </w:r>
      <w:r w:rsidRPr="00493946">
        <w:rPr>
          <w:b/>
        </w:rPr>
        <w:t>Ericsson</w:t>
      </w:r>
      <w:r>
        <w:t xml:space="preserve">) </w:t>
      </w:r>
      <w:r w:rsidR="00441D80">
        <w:t>For beam management</w:t>
      </w:r>
      <w:r>
        <w:t xml:space="preserve">, support </w:t>
      </w:r>
      <w:r w:rsidR="0008103B">
        <w:t>only single NZP CSI-RS resource set (as specified for Rel-15)</w:t>
      </w:r>
    </w:p>
    <w:p w14:paraId="0AE7E587" w14:textId="33D1850D" w:rsidR="004326D6" w:rsidRDefault="004326D6" w:rsidP="004326D6">
      <w:pPr>
        <w:pStyle w:val="ListParagraph"/>
        <w:numPr>
          <w:ilvl w:val="0"/>
          <w:numId w:val="30"/>
        </w:numPr>
      </w:pPr>
      <w:r>
        <w:t>(</w:t>
      </w:r>
      <w:r w:rsidRPr="00AE64CF">
        <w:rPr>
          <w:b/>
        </w:rPr>
        <w:t>Samsung</w:t>
      </w:r>
      <w:r>
        <w:t>) Two CSI-RS resource sets configuration/triggering is needed for group-based beam reporting.</w:t>
      </w:r>
    </w:p>
    <w:p w14:paraId="07EA21FC" w14:textId="6045CE64" w:rsidR="004B45DE" w:rsidRDefault="004B45DE" w:rsidP="004B45DE">
      <w:pPr>
        <w:pStyle w:val="ListParagraph"/>
        <w:numPr>
          <w:ilvl w:val="0"/>
          <w:numId w:val="30"/>
        </w:numPr>
      </w:pPr>
      <w:r>
        <w:t>(</w:t>
      </w:r>
      <w:r w:rsidRPr="004B45DE">
        <w:rPr>
          <w:b/>
        </w:rPr>
        <w:t>DCM</w:t>
      </w:r>
      <w:r>
        <w:t xml:space="preserve">) Support triggering multiple aperiodic CSI-RS resource sets in a single DCI for beam management, multiple equal-size resource sets, all with repetition = “OFF”, and </w:t>
      </w:r>
      <w:r w:rsidRPr="000964CF">
        <w:t xml:space="preserve">UE reports distinct local CSI-RS resource indicator(s) within one or more resource sets. The UE can assume that the </w:t>
      </w:r>
      <w:proofErr w:type="spellStart"/>
      <w:r w:rsidRPr="000964CF">
        <w:t>gNB</w:t>
      </w:r>
      <w:proofErr w:type="spellEnd"/>
      <w:r w:rsidRPr="000964CF">
        <w:t xml:space="preserve"> applies the same </w:t>
      </w:r>
      <w:proofErr w:type="spellStart"/>
      <w:r w:rsidRPr="000964CF">
        <w:t>Tx</w:t>
      </w:r>
      <w:proofErr w:type="spellEnd"/>
      <w:r w:rsidRPr="000964CF">
        <w:t xml:space="preserve"> beams in the same order for each of the sets</w:t>
      </w:r>
    </w:p>
    <w:p w14:paraId="60EBA2B5" w14:textId="17261B9C" w:rsidR="00553456" w:rsidRDefault="00553456" w:rsidP="00553456">
      <w:pPr>
        <w:pStyle w:val="Heading2"/>
      </w:pPr>
      <w:r>
        <w:t xml:space="preserve">QCL </w:t>
      </w:r>
      <w:r w:rsidR="00D7033B">
        <w:t>configuration</w:t>
      </w:r>
      <w:r>
        <w:t xml:space="preserve"> for CSI-RS</w:t>
      </w:r>
    </w:p>
    <w:p w14:paraId="4387F2DC" w14:textId="3CADF8A1" w:rsidR="00D7033B" w:rsidRDefault="00D7033B" w:rsidP="00D7033B">
      <w:r>
        <w:t xml:space="preserve">The following proposals (paraphrased) appear in the </w:t>
      </w:r>
      <w:proofErr w:type="spellStart"/>
      <w:r>
        <w:t>Tdocs</w:t>
      </w:r>
      <w:proofErr w:type="spellEnd"/>
      <w:r>
        <w:t xml:space="preserve"> related to QCL configuration for CSI-RS:</w:t>
      </w:r>
    </w:p>
    <w:p w14:paraId="79280330" w14:textId="3509F2E9" w:rsidR="00D7033B" w:rsidRDefault="00D7033B" w:rsidP="00583BC0">
      <w:pPr>
        <w:pStyle w:val="ListParagraph"/>
        <w:numPr>
          <w:ilvl w:val="0"/>
          <w:numId w:val="23"/>
        </w:numPr>
      </w:pPr>
      <w:r>
        <w:t>(</w:t>
      </w:r>
      <w:r w:rsidRPr="00D7033B">
        <w:rPr>
          <w:b/>
        </w:rPr>
        <w:t>Nokia</w:t>
      </w:r>
      <w:r>
        <w:t>) (Spatial) QCL reference for target periodic CSI-RS provided by an RRC configured TCI state</w:t>
      </w:r>
    </w:p>
    <w:p w14:paraId="6C0C9DFF" w14:textId="247F737A" w:rsidR="00D7033B" w:rsidRDefault="00D7033B" w:rsidP="00583BC0">
      <w:pPr>
        <w:pStyle w:val="ListParagraph"/>
        <w:numPr>
          <w:ilvl w:val="0"/>
          <w:numId w:val="23"/>
        </w:numPr>
      </w:pPr>
      <w:r>
        <w:t>(</w:t>
      </w:r>
      <w:r w:rsidRPr="00D7033B">
        <w:rPr>
          <w:b/>
        </w:rPr>
        <w:t>vivo</w:t>
      </w:r>
      <w:r>
        <w:t>) QCL reference for target periodic &amp; semi-persistent CSI-RS configured at CSI-RS resource level</w:t>
      </w:r>
    </w:p>
    <w:p w14:paraId="17C48E7E" w14:textId="7BF3F7A4" w:rsidR="00D7033B" w:rsidRDefault="00D7033B" w:rsidP="00583BC0">
      <w:pPr>
        <w:pStyle w:val="ListParagraph"/>
        <w:numPr>
          <w:ilvl w:val="0"/>
          <w:numId w:val="23"/>
        </w:numPr>
      </w:pPr>
      <w:r>
        <w:t>(</w:t>
      </w:r>
      <w:r w:rsidRPr="00D7033B">
        <w:rPr>
          <w:b/>
        </w:rPr>
        <w:t>Nokia</w:t>
      </w:r>
      <w:r>
        <w:t>) (Spatial) QCL reference for a target ZP/NZP CSI-RS-based IMR provided by an RRC configured TCI state</w:t>
      </w:r>
    </w:p>
    <w:p w14:paraId="4DD1097D" w14:textId="710ABE69" w:rsidR="00F2515F" w:rsidRPr="00AE64CF" w:rsidRDefault="00F2515F" w:rsidP="00583BC0">
      <w:pPr>
        <w:pStyle w:val="ListParagraph"/>
        <w:numPr>
          <w:ilvl w:val="0"/>
          <w:numId w:val="23"/>
        </w:numPr>
      </w:pPr>
      <w:r w:rsidRPr="00AE64CF">
        <w:rPr>
          <w:b/>
          <w:color w:val="000000"/>
          <w:szCs w:val="20"/>
          <w:lang w:eastAsia="zh-CN"/>
        </w:rPr>
        <w:t>(ZTE)</w:t>
      </w:r>
      <w:r>
        <w:rPr>
          <w:color w:val="000000"/>
          <w:szCs w:val="20"/>
          <w:lang w:eastAsia="zh-CN"/>
        </w:rPr>
        <w:t xml:space="preserve"> </w:t>
      </w:r>
      <w:r w:rsidRPr="00336BDC">
        <w:rPr>
          <w:color w:val="000000"/>
          <w:szCs w:val="20"/>
        </w:rPr>
        <w:t xml:space="preserve">UE may assume that the CSI-RS resource(s) </w:t>
      </w:r>
      <w:r>
        <w:rPr>
          <w:color w:val="000000"/>
          <w:szCs w:val="20"/>
        </w:rPr>
        <w:t xml:space="preserve">in a resource set </w:t>
      </w:r>
      <w:r w:rsidRPr="00336BDC">
        <w:rPr>
          <w:color w:val="000000"/>
          <w:szCs w:val="20"/>
        </w:rPr>
        <w:t>for channel measurement and the CSI-IM/NZP CSI-RS resource(s)</w:t>
      </w:r>
      <w:r>
        <w:rPr>
          <w:color w:val="000000"/>
          <w:szCs w:val="20"/>
        </w:rPr>
        <w:t xml:space="preserve"> in a resource set</w:t>
      </w:r>
      <w:r w:rsidRPr="00336BDC">
        <w:rPr>
          <w:color w:val="000000"/>
          <w:szCs w:val="20"/>
        </w:rPr>
        <w:t xml:space="preserve"> for interference measurement are resource-wise spatially quasi co-located in </w:t>
      </w:r>
      <w:r>
        <w:rPr>
          <w:color w:val="000000"/>
          <w:szCs w:val="20"/>
        </w:rPr>
        <w:t xml:space="preserve">the </w:t>
      </w:r>
      <w:r w:rsidRPr="00336BDC">
        <w:rPr>
          <w:color w:val="000000"/>
          <w:szCs w:val="20"/>
        </w:rPr>
        <w:t>order</w:t>
      </w:r>
      <w:r>
        <w:rPr>
          <w:color w:val="000000"/>
          <w:szCs w:val="20"/>
        </w:rPr>
        <w:t xml:space="preserve"> of resources listed in the sets</w:t>
      </w:r>
      <w:r w:rsidRPr="00336BDC">
        <w:rPr>
          <w:color w:val="000000"/>
          <w:szCs w:val="20"/>
        </w:rPr>
        <w:t>.</w:t>
      </w:r>
    </w:p>
    <w:p w14:paraId="53D2F232" w14:textId="639AE61C" w:rsidR="00101074" w:rsidRDefault="00101074">
      <w:pPr>
        <w:pStyle w:val="ListParagraph"/>
        <w:numPr>
          <w:ilvl w:val="0"/>
          <w:numId w:val="23"/>
        </w:numPr>
      </w:pPr>
      <w:r>
        <w:t>(</w:t>
      </w:r>
      <w:r>
        <w:rPr>
          <w:b/>
        </w:rPr>
        <w:t>ZTE</w:t>
      </w:r>
      <w:r>
        <w:t>) QCL reference or TCI state for periodic/semi-persistent CSI-RS is configured at resource level</w:t>
      </w:r>
    </w:p>
    <w:p w14:paraId="2AA1E6E5" w14:textId="5B6BCDE8" w:rsidR="00924542" w:rsidRDefault="00924542" w:rsidP="00924542">
      <w:pPr>
        <w:pStyle w:val="Heading1"/>
      </w:pPr>
      <w:r>
        <w:t>Summary of open issues on UE capability</w:t>
      </w:r>
    </w:p>
    <w:p w14:paraId="0107D0F8" w14:textId="5F7CF0B8" w:rsidR="0034775D" w:rsidRPr="009E3595" w:rsidRDefault="00924542" w:rsidP="009E3595">
      <w:r>
        <w:t>In this section, open issues with respect to UE capability are summarized.</w:t>
      </w:r>
      <w:r w:rsidR="009E3595">
        <w:t xml:space="preserve"> </w:t>
      </w:r>
      <w:r w:rsidR="0034775D" w:rsidRPr="009E3595">
        <w:t>The summary</w:t>
      </w:r>
      <w:r w:rsidR="004D0103" w:rsidRPr="009E3595">
        <w:t xml:space="preserve"> </w:t>
      </w:r>
      <w:r w:rsidR="000B26AC" w:rsidRPr="009E3595">
        <w:t>below</w:t>
      </w:r>
      <w:r w:rsidR="0034775D" w:rsidRPr="009E3595">
        <w:t xml:space="preserve"> can serve as input to the UE capability discussion planned during RAN1 Ad Hoc – NR#1</w:t>
      </w:r>
      <w:bookmarkStart w:id="2" w:name="_GoBack"/>
      <w:bookmarkEnd w:id="2"/>
    </w:p>
    <w:p w14:paraId="607685C2" w14:textId="0D8D5B50" w:rsidR="00924542" w:rsidRDefault="00924542" w:rsidP="00924542">
      <w:pPr>
        <w:pStyle w:val="Heading2"/>
      </w:pPr>
      <w:r>
        <w:t>PDSCH scheduling offset threshold</w:t>
      </w:r>
    </w:p>
    <w:p w14:paraId="02F4C204" w14:textId="70C223A0" w:rsidR="00A22EE2" w:rsidRDefault="00A22EE2" w:rsidP="00A22EE2">
      <w:r>
        <w:t xml:space="preserve">The following proposals (paraphrased) appear in the </w:t>
      </w:r>
      <w:proofErr w:type="spellStart"/>
      <w:r>
        <w:t>Tdocs</w:t>
      </w:r>
      <w:proofErr w:type="spellEnd"/>
      <w:r>
        <w:t xml:space="preserve"> related to the PDSCH scheduling offset K that the UE is expected to support:</w:t>
      </w:r>
    </w:p>
    <w:p w14:paraId="62DDADA7" w14:textId="6A23B509" w:rsidR="00A22EE2" w:rsidRDefault="00A22EE2" w:rsidP="00583BC0">
      <w:pPr>
        <w:pStyle w:val="ListParagraph"/>
        <w:numPr>
          <w:ilvl w:val="0"/>
          <w:numId w:val="24"/>
        </w:numPr>
      </w:pPr>
      <w:r>
        <w:t>(</w:t>
      </w:r>
      <w:proofErr w:type="spellStart"/>
      <w:r w:rsidR="006D5300">
        <w:rPr>
          <w:b/>
        </w:rPr>
        <w:t>MediaTek</w:t>
      </w:r>
      <w:proofErr w:type="spellEnd"/>
      <w:r>
        <w:t xml:space="preserve">) </w:t>
      </w:r>
      <w:r w:rsidR="006D5300" w:rsidRPr="006D5300">
        <w:t>Support single latency of 26 OFDM symbols at 120 kHz SCS</w:t>
      </w:r>
      <w:r w:rsidR="006D5300">
        <w:t xml:space="preserve"> for both PDSCH scheduling offset and aperiodic CSI-RS triggering offset X</w:t>
      </w:r>
    </w:p>
    <w:p w14:paraId="76E4F78D" w14:textId="15BAA6B5" w:rsidR="006D5300" w:rsidRDefault="006D5300" w:rsidP="00583BC0">
      <w:pPr>
        <w:pStyle w:val="ListParagraph"/>
        <w:numPr>
          <w:ilvl w:val="0"/>
          <w:numId w:val="24"/>
        </w:numPr>
      </w:pPr>
      <w:r>
        <w:t>(</w:t>
      </w:r>
      <w:r w:rsidRPr="006D5300">
        <w:rPr>
          <w:b/>
        </w:rPr>
        <w:t>CMCC</w:t>
      </w:r>
      <w:r>
        <w:t xml:space="preserve">) </w:t>
      </w:r>
      <w:r w:rsidRPr="006D5300">
        <w:t xml:space="preserve">Support </w:t>
      </w:r>
      <w:r>
        <w:t xml:space="preserve">PDSCH scheduling offset threshold as </w:t>
      </w:r>
      <w:r w:rsidRPr="006D5300">
        <w:t>UE capability</w:t>
      </w:r>
    </w:p>
    <w:p w14:paraId="76FAA8BD" w14:textId="24D9626A" w:rsidR="006D5300" w:rsidRDefault="006D5300" w:rsidP="00583BC0">
      <w:pPr>
        <w:pStyle w:val="ListParagraph"/>
        <w:numPr>
          <w:ilvl w:val="0"/>
          <w:numId w:val="24"/>
        </w:numPr>
      </w:pPr>
      <w:r>
        <w:t>(</w:t>
      </w:r>
      <w:r w:rsidRPr="006D5300">
        <w:rPr>
          <w:b/>
        </w:rPr>
        <w:t>Huawei</w:t>
      </w:r>
      <w:r>
        <w:t>) Capability</w:t>
      </w:r>
      <w:r w:rsidRPr="006D5300">
        <w:t xml:space="preserve"> includes 14, 28 symbols (assuming 120 kHz SCS)</w:t>
      </w:r>
    </w:p>
    <w:p w14:paraId="573F3FD2" w14:textId="441A6877" w:rsidR="006D5300" w:rsidRDefault="006D5300" w:rsidP="00583BC0">
      <w:pPr>
        <w:pStyle w:val="ListParagraph"/>
        <w:numPr>
          <w:ilvl w:val="0"/>
          <w:numId w:val="24"/>
        </w:numPr>
      </w:pPr>
      <w:r>
        <w:t>(</w:t>
      </w:r>
      <w:r>
        <w:rPr>
          <w:b/>
        </w:rPr>
        <w:t>ZTE</w:t>
      </w:r>
      <w:r>
        <w:t xml:space="preserve">) </w:t>
      </w:r>
      <w:r w:rsidRPr="006D5300">
        <w:t>Capability includes 1, 2 slots</w:t>
      </w:r>
    </w:p>
    <w:p w14:paraId="44268348" w14:textId="01A77BE3" w:rsidR="0046462E" w:rsidRDefault="0046462E" w:rsidP="00583BC0">
      <w:pPr>
        <w:pStyle w:val="ListParagraph"/>
        <w:numPr>
          <w:ilvl w:val="0"/>
          <w:numId w:val="24"/>
        </w:numPr>
      </w:pPr>
      <w:r>
        <w:t>(</w:t>
      </w:r>
      <w:r w:rsidRPr="0046462E">
        <w:rPr>
          <w:b/>
        </w:rPr>
        <w:t>Interdigital</w:t>
      </w:r>
      <w:r>
        <w:t>) PDSCH scheduling threshold is based on UE capability</w:t>
      </w:r>
    </w:p>
    <w:p w14:paraId="05ECB53D" w14:textId="0BF2506F" w:rsidR="006D5300" w:rsidRDefault="006D5300" w:rsidP="00583BC0">
      <w:pPr>
        <w:pStyle w:val="ListParagraph"/>
        <w:numPr>
          <w:ilvl w:val="0"/>
          <w:numId w:val="24"/>
        </w:numPr>
      </w:pPr>
      <w:r>
        <w:t>(</w:t>
      </w:r>
      <w:r>
        <w:rPr>
          <w:b/>
        </w:rPr>
        <w:t>Ericsson</w:t>
      </w:r>
      <w:r>
        <w:t xml:space="preserve">) Common value on capability for PDSCH scheduling offset and aperiodic CSI-RS </w:t>
      </w:r>
      <w:r w:rsidR="007A3739">
        <w:t>triggering offset X</w:t>
      </w:r>
    </w:p>
    <w:p w14:paraId="78A0732A" w14:textId="77777777" w:rsidR="004326D6" w:rsidRDefault="0098691B" w:rsidP="00583BC0">
      <w:pPr>
        <w:pStyle w:val="ListParagraph"/>
        <w:numPr>
          <w:ilvl w:val="0"/>
          <w:numId w:val="24"/>
        </w:numPr>
      </w:pPr>
      <w:r>
        <w:t>(</w:t>
      </w:r>
      <w:r w:rsidRPr="0098691B">
        <w:rPr>
          <w:b/>
        </w:rPr>
        <w:t>Samsung</w:t>
      </w:r>
      <w:r>
        <w:t xml:space="preserve">) </w:t>
      </w:r>
      <w:r w:rsidRPr="0098691B">
        <w:t>Scheduling offset threshold computed as ceil(tau_0/slot duration) expressed in # of slots</w:t>
      </w:r>
      <w:r>
        <w:t xml:space="preserve"> where tau_0 is based on UE capability</w:t>
      </w:r>
      <w:r w:rsidR="004326D6">
        <w:t>:</w:t>
      </w:r>
    </w:p>
    <w:p w14:paraId="4EF2FD32" w14:textId="3189AB43" w:rsidR="004D0103" w:rsidRPr="00A22EE2" w:rsidRDefault="004326D6" w:rsidP="00AE64CF">
      <w:pPr>
        <w:pStyle w:val="ListParagraph"/>
        <w:numPr>
          <w:ilvl w:val="1"/>
          <w:numId w:val="24"/>
        </w:numPr>
      </w:pPr>
      <w:r>
        <w:t>Note: we have agreed that UE reports the time needed for DCI decoding and switch the Rx beam as part of the UE capability reporting</w:t>
      </w:r>
    </w:p>
    <w:p w14:paraId="63718B5F" w14:textId="6204A409" w:rsidR="00924542" w:rsidRDefault="00924542" w:rsidP="00924542">
      <w:pPr>
        <w:pStyle w:val="Heading2"/>
      </w:pPr>
      <w:r>
        <w:lastRenderedPageBreak/>
        <w:t>Number of UE beam switches</w:t>
      </w:r>
    </w:p>
    <w:p w14:paraId="6715E8AD" w14:textId="1E62BB4C" w:rsidR="00A22EE2" w:rsidRDefault="00A22EE2" w:rsidP="00A22EE2">
      <w:r>
        <w:t xml:space="preserve">The following proposals (paraphrased) appear in the </w:t>
      </w:r>
      <w:proofErr w:type="spellStart"/>
      <w:r>
        <w:t>Tdocs</w:t>
      </w:r>
      <w:proofErr w:type="spellEnd"/>
      <w:r>
        <w:t xml:space="preserve"> related to the number of UE beam switches per slot that the UE is expected to perform:</w:t>
      </w:r>
    </w:p>
    <w:p w14:paraId="748DC25C" w14:textId="190C1ED3" w:rsidR="00A22EE2" w:rsidRDefault="00A22EE2" w:rsidP="00583BC0">
      <w:pPr>
        <w:pStyle w:val="ListParagraph"/>
        <w:numPr>
          <w:ilvl w:val="0"/>
          <w:numId w:val="24"/>
        </w:numPr>
      </w:pPr>
      <w:r>
        <w:t>(</w:t>
      </w:r>
      <w:proofErr w:type="spellStart"/>
      <w:r w:rsidR="007A3739">
        <w:rPr>
          <w:b/>
        </w:rPr>
        <w:t>MediaTek</w:t>
      </w:r>
      <w:proofErr w:type="spellEnd"/>
      <w:r>
        <w:t xml:space="preserve">) </w:t>
      </w:r>
      <w:r w:rsidR="007A3739" w:rsidRPr="007A3739">
        <w:t xml:space="preserve">No need to define number of </w:t>
      </w:r>
      <w:proofErr w:type="spellStart"/>
      <w:r w:rsidR="007A3739" w:rsidRPr="007A3739">
        <w:t>Tx+Rx</w:t>
      </w:r>
      <w:proofErr w:type="spellEnd"/>
      <w:r w:rsidR="007A3739" w:rsidRPr="007A3739">
        <w:t xml:space="preserve"> beam switches in a slot as a capability</w:t>
      </w:r>
    </w:p>
    <w:p w14:paraId="4CB80B68" w14:textId="1386EEC1" w:rsidR="00A22EE2" w:rsidRPr="00A22EE2" w:rsidRDefault="007A3739" w:rsidP="00583BC0">
      <w:pPr>
        <w:pStyle w:val="ListParagraph"/>
        <w:numPr>
          <w:ilvl w:val="0"/>
          <w:numId w:val="24"/>
        </w:numPr>
      </w:pPr>
      <w:r>
        <w:t>(</w:t>
      </w:r>
      <w:r>
        <w:rPr>
          <w:b/>
        </w:rPr>
        <w:t>Qualcomm</w:t>
      </w:r>
      <w:r>
        <w:t xml:space="preserve">) </w:t>
      </w:r>
      <w:r w:rsidRPr="007A3739">
        <w:t>Upper bound on supported number of UE beam switches is a UE capability. Capability should include 7.</w:t>
      </w:r>
    </w:p>
    <w:p w14:paraId="152EB734" w14:textId="339CEA83" w:rsidR="00924542" w:rsidRDefault="00924542" w:rsidP="00924542">
      <w:pPr>
        <w:pStyle w:val="Heading2"/>
      </w:pPr>
      <w:r>
        <w:t>Number of SSB/CSI-RS resources for measurement</w:t>
      </w:r>
    </w:p>
    <w:p w14:paraId="25DD738A" w14:textId="0C8EFB69" w:rsidR="00A22EE2" w:rsidRPr="00A22EE2" w:rsidRDefault="00A22EE2" w:rsidP="00A22EE2">
      <w:r>
        <w:t xml:space="preserve">The following proposals (paraphrased) appear in the </w:t>
      </w:r>
      <w:proofErr w:type="spellStart"/>
      <w:r>
        <w:t>Tdocs</w:t>
      </w:r>
      <w:proofErr w:type="spellEnd"/>
      <w:r>
        <w:t xml:space="preserve"> related to the supported number of SSB/CSI-RS resources on which the UE is required to measure:</w:t>
      </w:r>
    </w:p>
    <w:p w14:paraId="173D0CA3" w14:textId="0F6F3BDF" w:rsidR="00A22EE2" w:rsidRDefault="00A22EE2" w:rsidP="00583BC0">
      <w:pPr>
        <w:pStyle w:val="ListParagraph"/>
        <w:numPr>
          <w:ilvl w:val="0"/>
          <w:numId w:val="24"/>
        </w:numPr>
      </w:pPr>
      <w:r>
        <w:t>(</w:t>
      </w:r>
      <w:proofErr w:type="spellStart"/>
      <w:r w:rsidR="007A3739">
        <w:rPr>
          <w:b/>
        </w:rPr>
        <w:t>MediaTek</w:t>
      </w:r>
      <w:proofErr w:type="spellEnd"/>
      <w:r>
        <w:t xml:space="preserve">) </w:t>
      </w:r>
      <w:r w:rsidR="007A3739" w:rsidRPr="007A3739">
        <w:t>For shorter latency, baseline number of resources to consider should be 8 or 16 per slot</w:t>
      </w:r>
    </w:p>
    <w:p w14:paraId="7EB0CE1B" w14:textId="47A5299E" w:rsidR="00DF3563" w:rsidRDefault="007A3739" w:rsidP="00583BC0">
      <w:pPr>
        <w:pStyle w:val="ListParagraph"/>
        <w:numPr>
          <w:ilvl w:val="0"/>
          <w:numId w:val="24"/>
        </w:numPr>
      </w:pPr>
      <w:r>
        <w:t>(</w:t>
      </w:r>
      <w:r>
        <w:rPr>
          <w:b/>
        </w:rPr>
        <w:t>Qualcomm</w:t>
      </w:r>
      <w:r>
        <w:t xml:space="preserve">) </w:t>
      </w:r>
      <w:r w:rsidRPr="007A3739">
        <w:t>Upper bound on number of CSI-RS/SSB resources on which UE needs to compute L1-RSRP is a UE capability. Capability should include 8 and 16.</w:t>
      </w:r>
    </w:p>
    <w:p w14:paraId="3564BFD6" w14:textId="7B3E77FE" w:rsidR="003F4CCC" w:rsidRDefault="00C75133" w:rsidP="003F4CCC">
      <w:pPr>
        <w:pStyle w:val="Heading1"/>
      </w:pPr>
      <w:r>
        <w:t>Summary of other open issues</w:t>
      </w:r>
    </w:p>
    <w:p w14:paraId="3C4629CE" w14:textId="63527EA8" w:rsidR="00CE17DE" w:rsidRDefault="003F4CCC" w:rsidP="003F4CCC">
      <w:r>
        <w:t xml:space="preserve">In this section, </w:t>
      </w:r>
      <w:r w:rsidR="00C75133">
        <w:t xml:space="preserve">other </w:t>
      </w:r>
      <w:r>
        <w:t xml:space="preserve">open issues </w:t>
      </w:r>
      <w:r w:rsidR="00C75133">
        <w:t>not captured in the previous two sections a</w:t>
      </w:r>
      <w:r>
        <w:t xml:space="preserve">re summarized. </w:t>
      </w:r>
      <w:r w:rsidR="00C75133">
        <w:t>Note, that while these issues are not categorized as RRC parameter impacting, depending on the outcome of discussions, they may still be RAN2 impacting, i.e., affect ASN.1 in 38.331 or MAC-CE message definition in 38.321.</w:t>
      </w:r>
    </w:p>
    <w:p w14:paraId="62F5D5A7" w14:textId="7C2698CD" w:rsidR="00CE17DE" w:rsidRDefault="00CE17DE" w:rsidP="00B94E9A">
      <w:pPr>
        <w:pStyle w:val="Heading2"/>
      </w:pPr>
      <w:r>
        <w:t>Draft LS Reply to RAN2</w:t>
      </w:r>
    </w:p>
    <w:p w14:paraId="6FC0E9B4" w14:textId="2FA3BA21" w:rsidR="00CE17DE" w:rsidRDefault="00CE17DE" w:rsidP="00CE17DE">
      <w:r>
        <w:t>A draft LS reply to RAN2 on MAC-CE has been prepared by Huawei.</w:t>
      </w:r>
    </w:p>
    <w:p w14:paraId="3728530A" w14:textId="186767AD" w:rsidR="00CE17DE" w:rsidRPr="00CE17DE" w:rsidRDefault="00CE17DE" w:rsidP="00CE17DE">
      <w:pPr>
        <w:rPr>
          <w:highlight w:val="yellow"/>
        </w:rPr>
      </w:pPr>
      <w:r w:rsidRPr="00CE17DE">
        <w:rPr>
          <w:b/>
          <w:highlight w:val="yellow"/>
        </w:rPr>
        <w:t>Proposal</w:t>
      </w:r>
      <w:r w:rsidRPr="00CE17DE">
        <w:rPr>
          <w:highlight w:val="yellow"/>
        </w:rPr>
        <w:t>:</w:t>
      </w:r>
    </w:p>
    <w:p w14:paraId="5201240D" w14:textId="0C3E8A0B" w:rsidR="00CE17DE" w:rsidRPr="00CE17DE" w:rsidRDefault="00CE17DE" w:rsidP="005E6E94">
      <w:pPr>
        <w:pStyle w:val="ListParagraph"/>
        <w:numPr>
          <w:ilvl w:val="0"/>
          <w:numId w:val="51"/>
        </w:numPr>
      </w:pPr>
      <w:r w:rsidRPr="005E6E94">
        <w:rPr>
          <w:highlight w:val="yellow"/>
        </w:rPr>
        <w:t>Offline discussion to review draft.</w:t>
      </w:r>
    </w:p>
    <w:p w14:paraId="6ACAEBEA" w14:textId="28265E21" w:rsidR="00B94E9A" w:rsidRDefault="00B94E9A" w:rsidP="00B94E9A">
      <w:pPr>
        <w:pStyle w:val="Heading2"/>
      </w:pPr>
      <w:r>
        <w:t>Beam reporting</w:t>
      </w:r>
    </w:p>
    <w:p w14:paraId="3DA7EBDD" w14:textId="058CF635" w:rsidR="00216215" w:rsidRDefault="00216215" w:rsidP="00216215">
      <w:pPr>
        <w:pStyle w:val="Heading3"/>
      </w:pPr>
      <w:r>
        <w:t>Differential RSRP reporting</w:t>
      </w:r>
    </w:p>
    <w:p w14:paraId="396E31F7" w14:textId="77777777" w:rsidR="001A3397" w:rsidRPr="0006444B" w:rsidRDefault="001A3397" w:rsidP="001A3397">
      <w:pPr>
        <w:rPr>
          <w:lang w:val="en-US"/>
        </w:rPr>
      </w:pPr>
    </w:p>
    <w:p w14:paraId="328858D1" w14:textId="4F7E8AD8" w:rsidR="0022132E" w:rsidRDefault="0022132E" w:rsidP="00583BC0">
      <w:pPr>
        <w:pStyle w:val="ListParagraph"/>
        <w:numPr>
          <w:ilvl w:val="0"/>
          <w:numId w:val="25"/>
        </w:numPr>
      </w:pPr>
      <w:r>
        <w:t>(</w:t>
      </w:r>
      <w:r w:rsidRPr="0022132E">
        <w:rPr>
          <w:b/>
        </w:rPr>
        <w:t>CATT</w:t>
      </w:r>
      <w:r>
        <w:t xml:space="preserve">) </w:t>
      </w:r>
      <w:r w:rsidRPr="0022132E">
        <w:t>CRI, RSRP ordering needs to be clarified</w:t>
      </w:r>
    </w:p>
    <w:p w14:paraId="32BFDF0F" w14:textId="3663ED03" w:rsidR="00BC0CB2" w:rsidRDefault="003D2E5C" w:rsidP="00583BC0">
      <w:pPr>
        <w:pStyle w:val="ListParagraph"/>
        <w:numPr>
          <w:ilvl w:val="0"/>
          <w:numId w:val="25"/>
        </w:numPr>
      </w:pPr>
      <w:r>
        <w:t>(</w:t>
      </w:r>
      <w:r w:rsidRPr="003D2E5C">
        <w:rPr>
          <w:b/>
        </w:rPr>
        <w:t>Huawei</w:t>
      </w:r>
      <w:r>
        <w:t xml:space="preserve">) </w:t>
      </w:r>
      <w:r w:rsidR="00BC0CB2">
        <w:t xml:space="preserve">Specify mapping of RSRP </w:t>
      </w:r>
      <w:r w:rsidR="00BC0CB2" w:rsidRPr="0048482F">
        <w:t>range [-140, -44] dBm with 1dB step size</w:t>
      </w:r>
      <w:r w:rsidR="00BC0CB2">
        <w:t xml:space="preserve"> to </w:t>
      </w:r>
      <w:r w:rsidRPr="003D2E5C">
        <w:t xml:space="preserve">7-bit </w:t>
      </w:r>
      <w:r>
        <w:t>quantization</w:t>
      </w:r>
      <w:r w:rsidRPr="003D2E5C">
        <w:t xml:space="preserve"> </w:t>
      </w:r>
      <w:r w:rsidR="00BC0CB2">
        <w:t>levels. Introduce table into spec.</w:t>
      </w:r>
    </w:p>
    <w:p w14:paraId="14CFF306" w14:textId="31245797" w:rsidR="003D2E5C" w:rsidRDefault="00BC0CB2" w:rsidP="00583BC0">
      <w:pPr>
        <w:pStyle w:val="ListParagraph"/>
        <w:numPr>
          <w:ilvl w:val="0"/>
          <w:numId w:val="25"/>
        </w:numPr>
      </w:pPr>
      <w:r>
        <w:t>(</w:t>
      </w:r>
      <w:r>
        <w:rPr>
          <w:b/>
        </w:rPr>
        <w:t>Huawei</w:t>
      </w:r>
      <w:r>
        <w:t xml:space="preserve">) </w:t>
      </w:r>
      <w:r w:rsidRPr="00BC0CB2">
        <w:t>4-bit differential RSRP should include a state to indicate out-of-range</w:t>
      </w:r>
    </w:p>
    <w:p w14:paraId="5A410955" w14:textId="2E824534" w:rsidR="00BC0CB2" w:rsidRDefault="00BC0CB2" w:rsidP="00583BC0">
      <w:pPr>
        <w:pStyle w:val="ListParagraph"/>
        <w:numPr>
          <w:ilvl w:val="0"/>
          <w:numId w:val="25"/>
        </w:numPr>
      </w:pPr>
      <w:r>
        <w:t>(</w:t>
      </w:r>
      <w:r w:rsidRPr="00BC0CB2">
        <w:rPr>
          <w:b/>
        </w:rPr>
        <w:t>NEC</w:t>
      </w:r>
      <w:r>
        <w:t xml:space="preserve">) </w:t>
      </w:r>
      <w:r w:rsidRPr="00BC0CB2">
        <w:t>4-bit differential RSRP should include a state to indicate out-of-range</w:t>
      </w:r>
    </w:p>
    <w:p w14:paraId="56A59DE7" w14:textId="4C75CFBD" w:rsidR="00BC0CB2" w:rsidRDefault="00BC0CB2" w:rsidP="00583BC0">
      <w:pPr>
        <w:pStyle w:val="ListParagraph"/>
        <w:numPr>
          <w:ilvl w:val="0"/>
          <w:numId w:val="25"/>
        </w:numPr>
      </w:pPr>
      <w:r>
        <w:t>(</w:t>
      </w:r>
      <w:r w:rsidRPr="00BC0CB2">
        <w:rPr>
          <w:b/>
        </w:rPr>
        <w:t>Nokia</w:t>
      </w:r>
      <w:r>
        <w:t xml:space="preserve">) </w:t>
      </w:r>
      <w:r w:rsidR="000F47B2">
        <w:t>For joint SSB/CSI-RS RSRP reporting, b</w:t>
      </w:r>
      <w:r w:rsidRPr="00BC0CB2">
        <w:t>oth differential and non-differential L1-RSRP reporting for SSB + CSI-RS supported</w:t>
      </w:r>
    </w:p>
    <w:p w14:paraId="609F44FA" w14:textId="5063CFA0" w:rsidR="00BC0CB2" w:rsidRDefault="00BC0CB2" w:rsidP="00583BC0">
      <w:pPr>
        <w:pStyle w:val="ListParagraph"/>
        <w:numPr>
          <w:ilvl w:val="0"/>
          <w:numId w:val="25"/>
        </w:numPr>
      </w:pPr>
      <w:r>
        <w:t>(</w:t>
      </w:r>
      <w:r w:rsidRPr="00BC0CB2">
        <w:rPr>
          <w:b/>
        </w:rPr>
        <w:t>Nokia</w:t>
      </w:r>
      <w:r>
        <w:t xml:space="preserve">) </w:t>
      </w:r>
      <w:r w:rsidR="000F47B2">
        <w:t>For joint SSB/CSI-RS RSRP reporting, r</w:t>
      </w:r>
      <w:r w:rsidRPr="00BC0CB2">
        <w:t>eport contains 2 elements: 1st element for differential RSRPs, 2nd element for SSBID/CRIs</w:t>
      </w:r>
    </w:p>
    <w:p w14:paraId="3E2D7B3B" w14:textId="03B8B0E8" w:rsidR="00BC0CB2" w:rsidRDefault="00BC0CB2" w:rsidP="00583BC0">
      <w:pPr>
        <w:pStyle w:val="ListParagraph"/>
        <w:numPr>
          <w:ilvl w:val="0"/>
          <w:numId w:val="25"/>
        </w:numPr>
      </w:pPr>
      <w:r>
        <w:t>(</w:t>
      </w:r>
      <w:r w:rsidR="000F47B2">
        <w:rPr>
          <w:b/>
        </w:rPr>
        <w:t>Samsung</w:t>
      </w:r>
      <w:r>
        <w:t>)</w:t>
      </w:r>
      <w:r w:rsidRPr="00BC0CB2">
        <w:t xml:space="preserve"> Reported CRIs ordered in </w:t>
      </w:r>
      <w:proofErr w:type="spellStart"/>
      <w:r w:rsidRPr="00BC0CB2">
        <w:t>decending</w:t>
      </w:r>
      <w:proofErr w:type="spellEnd"/>
      <w:r w:rsidRPr="00BC0CB2">
        <w:t xml:space="preserve"> order of </w:t>
      </w:r>
      <w:proofErr w:type="spellStart"/>
      <w:r w:rsidRPr="00BC0CB2">
        <w:t>coresponding</w:t>
      </w:r>
      <w:proofErr w:type="spellEnd"/>
      <w:r w:rsidRPr="00BC0CB2">
        <w:t xml:space="preserve"> RSRPs; bits are arranged as</w:t>
      </w:r>
      <w:r w:rsidR="00DF723A">
        <w:t>: CRI1.,</w:t>
      </w:r>
      <w:r w:rsidRPr="00BC0CB2">
        <w:t xml:space="preserve"> largest RSRP</w:t>
      </w:r>
      <w:r w:rsidR="00DF723A">
        <w:t xml:space="preserve"> of</w:t>
      </w:r>
      <w:r w:rsidRPr="00BC0CB2">
        <w:t xml:space="preserve"> CRI1</w:t>
      </w:r>
      <w:r w:rsidR="00DF723A">
        <w:t>;</w:t>
      </w:r>
      <w:r w:rsidR="00DF723A" w:rsidRPr="00BC0CB2">
        <w:t xml:space="preserve"> </w:t>
      </w:r>
      <w:r w:rsidR="00DF723A">
        <w:t xml:space="preserve">CRI2, </w:t>
      </w:r>
      <w:r w:rsidRPr="00BC0CB2">
        <w:t>differential RSRP</w:t>
      </w:r>
      <w:r w:rsidR="00DF723A">
        <w:t xml:space="preserve">  of</w:t>
      </w:r>
      <w:r w:rsidRPr="00BC0CB2">
        <w:t xml:space="preserve"> CRI2</w:t>
      </w:r>
      <w:r w:rsidR="00DF723A">
        <w:t>;</w:t>
      </w:r>
      <w:r w:rsidR="00DF723A" w:rsidRPr="00BC0CB2">
        <w:t xml:space="preserve"> </w:t>
      </w:r>
      <w:r w:rsidR="00DF723A">
        <w:t xml:space="preserve">CRI3, </w:t>
      </w:r>
      <w:r w:rsidRPr="00BC0CB2">
        <w:t>differential RSRP</w:t>
      </w:r>
      <w:r w:rsidR="00DF723A">
        <w:t xml:space="preserve"> of</w:t>
      </w:r>
      <w:r w:rsidR="00DF723A" w:rsidRPr="00BC0CB2">
        <w:t xml:space="preserve"> </w:t>
      </w:r>
      <w:r w:rsidRPr="00BC0CB2">
        <w:t>CRI3, ...</w:t>
      </w:r>
    </w:p>
    <w:p w14:paraId="7A25865F" w14:textId="511B1AF2" w:rsidR="00BC0CB2" w:rsidRDefault="00BC0CB2" w:rsidP="00583BC0">
      <w:pPr>
        <w:pStyle w:val="ListParagraph"/>
        <w:numPr>
          <w:ilvl w:val="0"/>
          <w:numId w:val="25"/>
        </w:numPr>
      </w:pPr>
      <w:r>
        <w:t>(</w:t>
      </w:r>
      <w:r w:rsidRPr="00BC0CB2">
        <w:rPr>
          <w:b/>
        </w:rPr>
        <w:t>ZTE</w:t>
      </w:r>
      <w:r>
        <w:t>) S</w:t>
      </w:r>
      <w:r w:rsidRPr="00BC0CB2">
        <w:t xml:space="preserve">upport differential L1-RSRP reporting </w:t>
      </w:r>
      <w:r>
        <w:t>for group-based beam reporting</w:t>
      </w:r>
    </w:p>
    <w:p w14:paraId="42B32A8A" w14:textId="77777777" w:rsidR="001A3397" w:rsidRDefault="001A3397" w:rsidP="000F47B2">
      <w:pPr>
        <w:rPr>
          <w:b/>
          <w:highlight w:val="yellow"/>
        </w:rPr>
      </w:pPr>
    </w:p>
    <w:p w14:paraId="0B69023D" w14:textId="28AF13D3" w:rsidR="001A3397" w:rsidRDefault="001A3397" w:rsidP="001A3397">
      <w:r w:rsidRPr="001A3397">
        <w:rPr>
          <w:b/>
        </w:rPr>
        <w:t>Also, i</w:t>
      </w:r>
      <w:r w:rsidRPr="001A3397">
        <w:t>n</w:t>
      </w:r>
      <w:r>
        <w:t xml:space="preserve"> R1-180005, RAN4 provide the following input to RAN2 and RAN1:</w:t>
      </w:r>
    </w:p>
    <w:p w14:paraId="56879E26" w14:textId="77777777" w:rsidR="001A3397" w:rsidRDefault="001A3397" w:rsidP="001A3397">
      <w:pPr>
        <w:rPr>
          <w:rFonts w:eastAsia="SimSun"/>
          <w:lang w:val="en-US"/>
        </w:rPr>
      </w:pPr>
      <w:r>
        <w:rPr>
          <w:rFonts w:eastAsia="SimSun"/>
          <w:lang w:val="en-US"/>
        </w:rPr>
        <w:t>RAN4 discussed the reporting range for NR RSRP and signal quality measurements. RAN4 conclusion is</w:t>
      </w:r>
    </w:p>
    <w:p w14:paraId="2BCAF64A" w14:textId="77777777" w:rsidR="001A3397" w:rsidRDefault="001A3397" w:rsidP="001A3397">
      <w:pPr>
        <w:numPr>
          <w:ilvl w:val="0"/>
          <w:numId w:val="44"/>
        </w:numPr>
        <w:overflowPunct/>
        <w:autoSpaceDE/>
        <w:autoSpaceDN/>
        <w:adjustRightInd/>
        <w:jc w:val="left"/>
        <w:textAlignment w:val="auto"/>
        <w:rPr>
          <w:rFonts w:eastAsia="SimSun"/>
          <w:lang w:val="en-US"/>
        </w:rPr>
      </w:pPr>
      <w:r w:rsidRPr="00600D2E">
        <w:rPr>
          <w:rFonts w:eastAsia="SimSun"/>
          <w:lang w:val="en-US"/>
        </w:rPr>
        <w:lastRenderedPageBreak/>
        <w:t>Reporting ra</w:t>
      </w:r>
      <w:r>
        <w:rPr>
          <w:rFonts w:eastAsia="SimSun"/>
          <w:lang w:val="en-US"/>
        </w:rPr>
        <w:t>nge of SS-RSRP and CSI RSRP can be represented with up to 128 reported values (7 bits) and the granularity shall be 1</w:t>
      </w:r>
      <w:r w:rsidRPr="00600D2E">
        <w:rPr>
          <w:rFonts w:eastAsia="SimSun"/>
          <w:lang w:val="en-US"/>
        </w:rPr>
        <w:t>dB</w:t>
      </w:r>
      <w:r>
        <w:rPr>
          <w:rFonts w:eastAsia="SimSun"/>
          <w:lang w:val="en-US"/>
        </w:rPr>
        <w:t>.</w:t>
      </w:r>
    </w:p>
    <w:p w14:paraId="24575099" w14:textId="77777777" w:rsidR="001A3397" w:rsidRPr="00600D2E" w:rsidRDefault="001A3397" w:rsidP="001A3397">
      <w:pPr>
        <w:numPr>
          <w:ilvl w:val="0"/>
          <w:numId w:val="44"/>
        </w:numPr>
        <w:overflowPunct/>
        <w:autoSpaceDE/>
        <w:autoSpaceDN/>
        <w:adjustRightInd/>
        <w:jc w:val="left"/>
        <w:textAlignment w:val="auto"/>
        <w:rPr>
          <w:rFonts w:eastAsia="SimSun"/>
          <w:lang w:val="en-US"/>
        </w:rPr>
      </w:pPr>
      <w:r>
        <w:rPr>
          <w:rFonts w:eastAsia="SimSun"/>
          <w:lang w:val="en-US"/>
        </w:rPr>
        <w:t>Reporting range of SS-RSRQ, CSI-RSRQ, SS-SINR and CSI-SINR can be represented with up to 128 reported values (7 bits) and the granularity shall be 0.5dB</w:t>
      </w:r>
    </w:p>
    <w:p w14:paraId="44BBBDA5" w14:textId="77777777" w:rsidR="001A3397" w:rsidRDefault="001A3397" w:rsidP="001A3397">
      <w:pPr>
        <w:numPr>
          <w:ilvl w:val="0"/>
          <w:numId w:val="44"/>
        </w:numPr>
        <w:overflowPunct/>
        <w:autoSpaceDE/>
        <w:autoSpaceDN/>
        <w:adjustRightInd/>
        <w:jc w:val="left"/>
        <w:textAlignment w:val="auto"/>
        <w:rPr>
          <w:rFonts w:eastAsia="SimSun"/>
          <w:lang w:val="en-US"/>
        </w:rPr>
      </w:pPr>
      <w:r w:rsidRPr="00600D2E">
        <w:rPr>
          <w:rFonts w:eastAsia="SimSun"/>
          <w:lang w:val="en-US"/>
        </w:rPr>
        <w:t>The range in the signaling may be larger than the guaranteed accuracy range.</w:t>
      </w:r>
    </w:p>
    <w:p w14:paraId="71674864" w14:textId="77777777" w:rsidR="001A3397" w:rsidRPr="0048405B" w:rsidRDefault="001A3397" w:rsidP="001A3397">
      <w:pPr>
        <w:numPr>
          <w:ilvl w:val="0"/>
          <w:numId w:val="44"/>
        </w:numPr>
        <w:overflowPunct/>
        <w:autoSpaceDE/>
        <w:autoSpaceDN/>
        <w:adjustRightInd/>
        <w:jc w:val="left"/>
        <w:textAlignment w:val="auto"/>
        <w:rPr>
          <w:rFonts w:eastAsia="SimSun"/>
          <w:lang w:val="en-US"/>
        </w:rPr>
      </w:pPr>
      <w:r>
        <w:rPr>
          <w:rFonts w:eastAsia="SimSun"/>
          <w:lang w:val="en-US"/>
        </w:rPr>
        <w:t xml:space="preserve">RAN4 will specify the mapping between reported value and </w:t>
      </w:r>
      <w:r>
        <w:rPr>
          <w:rFonts w:cs="v3.7.0"/>
        </w:rPr>
        <w:t>m</w:t>
      </w:r>
      <w:r w:rsidRPr="001E3D58">
        <w:rPr>
          <w:rFonts w:cs="v3.7.0"/>
        </w:rPr>
        <w:t>easured quantity value</w:t>
      </w:r>
      <w:r>
        <w:rPr>
          <w:rFonts w:cs="v3.7.0"/>
        </w:rPr>
        <w:t xml:space="preserve"> in the NR performance work item.</w:t>
      </w:r>
    </w:p>
    <w:p w14:paraId="1B66E7BE" w14:textId="0F4AFA75" w:rsidR="001A3397" w:rsidRPr="0006444B" w:rsidRDefault="00F812FD" w:rsidP="000F47B2">
      <w:pPr>
        <w:rPr>
          <w:lang w:val="en-US"/>
        </w:rPr>
      </w:pPr>
      <w:r w:rsidRPr="0006444B">
        <w:rPr>
          <w:lang w:val="en-US"/>
        </w:rPr>
        <w:t>The assumption is that the mapping table will go into 38.133.</w:t>
      </w:r>
    </w:p>
    <w:p w14:paraId="23EA7720" w14:textId="77777777" w:rsidR="00F812FD" w:rsidRPr="0006444B" w:rsidRDefault="00F812FD" w:rsidP="000F47B2">
      <w:pPr>
        <w:rPr>
          <w:b/>
          <w:highlight w:val="yellow"/>
          <w:lang w:val="en-US"/>
        </w:rPr>
      </w:pPr>
    </w:p>
    <w:p w14:paraId="17E5A70F" w14:textId="6AE339B4" w:rsidR="000F47B2" w:rsidRDefault="000F47B2" w:rsidP="000F47B2">
      <w:r w:rsidRPr="001A61C6">
        <w:rPr>
          <w:b/>
          <w:highlight w:val="yellow"/>
        </w:rPr>
        <w:t>Proposal</w:t>
      </w:r>
      <w:r>
        <w:t>:</w:t>
      </w:r>
    </w:p>
    <w:p w14:paraId="15F04503" w14:textId="77777777" w:rsidR="00F812FD" w:rsidRDefault="00F812FD" w:rsidP="001A3397">
      <w:pPr>
        <w:pStyle w:val="ListParagraph"/>
        <w:numPr>
          <w:ilvl w:val="0"/>
          <w:numId w:val="26"/>
        </w:numPr>
        <w:rPr>
          <w:highlight w:val="yellow"/>
        </w:rPr>
      </w:pPr>
      <w:r>
        <w:rPr>
          <w:highlight w:val="yellow"/>
        </w:rPr>
        <w:t>Reuse the RSRP mapping derived by RAN4 for the maximum RSRP</w:t>
      </w:r>
    </w:p>
    <w:p w14:paraId="7D940FA7" w14:textId="47B72B2B" w:rsidR="00F812FD" w:rsidRDefault="00F812FD" w:rsidP="001A3397">
      <w:pPr>
        <w:pStyle w:val="ListParagraph"/>
        <w:numPr>
          <w:ilvl w:val="0"/>
          <w:numId w:val="26"/>
        </w:numPr>
        <w:rPr>
          <w:highlight w:val="yellow"/>
        </w:rPr>
      </w:pPr>
      <w:r>
        <w:rPr>
          <w:highlight w:val="yellow"/>
        </w:rPr>
        <w:t>Sort the RSRP elements in the report in the order of decreasing RSRP</w:t>
      </w:r>
    </w:p>
    <w:p w14:paraId="58A167D7" w14:textId="77777777" w:rsidR="00F812FD" w:rsidRDefault="001A3397" w:rsidP="001A3397">
      <w:pPr>
        <w:pStyle w:val="ListParagraph"/>
        <w:numPr>
          <w:ilvl w:val="0"/>
          <w:numId w:val="26"/>
        </w:numPr>
        <w:rPr>
          <w:highlight w:val="yellow"/>
        </w:rPr>
      </w:pPr>
      <w:r w:rsidRPr="000F47B2">
        <w:rPr>
          <w:highlight w:val="yellow"/>
        </w:rPr>
        <w:t xml:space="preserve">Offline discussion on the </w:t>
      </w:r>
      <w:r w:rsidR="00F812FD">
        <w:rPr>
          <w:highlight w:val="yellow"/>
        </w:rPr>
        <w:t>following aspects</w:t>
      </w:r>
    </w:p>
    <w:p w14:paraId="52D32DDD" w14:textId="77777777" w:rsidR="00F812FD" w:rsidRPr="000F47B2" w:rsidRDefault="00F812FD" w:rsidP="00F812FD">
      <w:pPr>
        <w:pStyle w:val="ListParagraph"/>
        <w:numPr>
          <w:ilvl w:val="1"/>
          <w:numId w:val="26"/>
        </w:numPr>
        <w:rPr>
          <w:highlight w:val="yellow"/>
        </w:rPr>
      </w:pPr>
      <w:r w:rsidRPr="000F47B2">
        <w:rPr>
          <w:highlight w:val="yellow"/>
        </w:rPr>
        <w:t>4-bit quantization of differential RSRP including possible out-of-range state</w:t>
      </w:r>
    </w:p>
    <w:p w14:paraId="241DD613" w14:textId="77777777" w:rsidR="00165F98" w:rsidRDefault="00F812FD" w:rsidP="00165F98">
      <w:pPr>
        <w:pStyle w:val="ListParagraph"/>
        <w:numPr>
          <w:ilvl w:val="1"/>
          <w:numId w:val="26"/>
        </w:numPr>
        <w:rPr>
          <w:highlight w:val="yellow"/>
        </w:rPr>
      </w:pPr>
      <w:r w:rsidRPr="000F47B2">
        <w:rPr>
          <w:highlight w:val="yellow"/>
        </w:rPr>
        <w:t>Support of differential RSRP reporting for joint CSI-RS/SSB RSRP reporting</w:t>
      </w:r>
    </w:p>
    <w:p w14:paraId="49652E97" w14:textId="10A38E68" w:rsidR="005E6E94" w:rsidRPr="005E6E94" w:rsidRDefault="00F812FD" w:rsidP="005E6E94">
      <w:pPr>
        <w:pStyle w:val="ListParagraph"/>
        <w:numPr>
          <w:ilvl w:val="1"/>
          <w:numId w:val="26"/>
        </w:numPr>
        <w:rPr>
          <w:highlight w:val="yellow"/>
        </w:rPr>
      </w:pPr>
      <w:r w:rsidRPr="00165F98">
        <w:rPr>
          <w:highlight w:val="yellow"/>
        </w:rPr>
        <w:t>Support of differential RSRP reporting for group-based RSRP reporting</w:t>
      </w:r>
    </w:p>
    <w:p w14:paraId="1DE34572" w14:textId="022A6B5B" w:rsidR="00216215" w:rsidRDefault="00216215" w:rsidP="00216215">
      <w:pPr>
        <w:pStyle w:val="Heading3"/>
      </w:pPr>
      <w:r>
        <w:t>Priority rules for reporting</w:t>
      </w:r>
    </w:p>
    <w:p w14:paraId="4C08BA96" w14:textId="75BC727F" w:rsidR="000B26AC" w:rsidRDefault="006B1CED" w:rsidP="00583BC0">
      <w:pPr>
        <w:pStyle w:val="ListParagraph"/>
        <w:numPr>
          <w:ilvl w:val="0"/>
          <w:numId w:val="26"/>
        </w:numPr>
      </w:pPr>
      <w:r>
        <w:t>(</w:t>
      </w:r>
      <w:r w:rsidRPr="006B1CED">
        <w:rPr>
          <w:b/>
        </w:rPr>
        <w:t>Huawei</w:t>
      </w:r>
      <w:r>
        <w:t>) Support the following priority ordering:</w:t>
      </w:r>
    </w:p>
    <w:p w14:paraId="199BDF27" w14:textId="4E6B7824" w:rsidR="006B1CED" w:rsidRDefault="006B1CED" w:rsidP="00583BC0">
      <w:pPr>
        <w:pStyle w:val="ListParagraph"/>
        <w:numPr>
          <w:ilvl w:val="1"/>
          <w:numId w:val="26"/>
        </w:numPr>
      </w:pPr>
      <w:r>
        <w:t>AP beam reporting &gt; P CSI reporting</w:t>
      </w:r>
    </w:p>
    <w:p w14:paraId="0BCC91DE" w14:textId="0F681015" w:rsidR="006B1CED" w:rsidRDefault="006B1CED" w:rsidP="00583BC0">
      <w:pPr>
        <w:pStyle w:val="ListParagraph"/>
        <w:numPr>
          <w:ilvl w:val="1"/>
          <w:numId w:val="26"/>
        </w:numPr>
      </w:pPr>
      <w:r>
        <w:t>AP CSI reporting &gt; P beam reporting</w:t>
      </w:r>
    </w:p>
    <w:p w14:paraId="4204BC0D" w14:textId="30FCB538" w:rsidR="006B1CED" w:rsidRDefault="006B1CED" w:rsidP="00583BC0">
      <w:pPr>
        <w:pStyle w:val="ListParagraph"/>
        <w:numPr>
          <w:ilvl w:val="1"/>
          <w:numId w:val="26"/>
        </w:numPr>
      </w:pPr>
      <w:r>
        <w:t>AP beam reporting &gt; P beam reporting</w:t>
      </w:r>
    </w:p>
    <w:p w14:paraId="59815929" w14:textId="77FAB2C1" w:rsidR="006B1CED" w:rsidRDefault="006B1CED" w:rsidP="00583BC0">
      <w:pPr>
        <w:pStyle w:val="ListParagraph"/>
        <w:numPr>
          <w:ilvl w:val="1"/>
          <w:numId w:val="26"/>
        </w:numPr>
      </w:pPr>
      <w:r>
        <w:t>Beam reporting part 1 &gt; CSI reporting&gt; beam reporting part 2</w:t>
      </w:r>
    </w:p>
    <w:p w14:paraId="67A884B5" w14:textId="7DA3D5DF" w:rsidR="006B1CED" w:rsidRDefault="006B1CED" w:rsidP="00583BC0">
      <w:pPr>
        <w:pStyle w:val="ListParagraph"/>
        <w:numPr>
          <w:ilvl w:val="0"/>
          <w:numId w:val="26"/>
        </w:numPr>
      </w:pPr>
      <w:r>
        <w:t>(</w:t>
      </w:r>
      <w:r w:rsidRPr="006B1CED">
        <w:rPr>
          <w:b/>
        </w:rPr>
        <w:t>Intel</w:t>
      </w:r>
      <w:r>
        <w:t xml:space="preserve">) </w:t>
      </w:r>
      <w:r w:rsidRPr="006B1CED">
        <w:t>Priority rules between PUCCH and SRS when PUCCH carries beam reporting should be the same as between PUCCH and SRS when PUCCH carries CSI report</w:t>
      </w:r>
    </w:p>
    <w:p w14:paraId="1150BCB5" w14:textId="0FEF924A" w:rsidR="006B1CED" w:rsidRDefault="006B1CED" w:rsidP="00583BC0">
      <w:pPr>
        <w:pStyle w:val="ListParagraph"/>
        <w:numPr>
          <w:ilvl w:val="0"/>
          <w:numId w:val="26"/>
        </w:numPr>
      </w:pPr>
      <w:r>
        <w:t>(</w:t>
      </w:r>
      <w:r w:rsidRPr="006B1CED">
        <w:rPr>
          <w:b/>
        </w:rPr>
        <w:t>NEC</w:t>
      </w:r>
      <w:r>
        <w:t xml:space="preserve">) </w:t>
      </w:r>
      <w:r w:rsidRPr="006B1CED">
        <w:t>SP-CSI &gt; P-CSI; AP-BM &gt; SP-BM &gt; P-BM</w:t>
      </w:r>
    </w:p>
    <w:p w14:paraId="74CBE9A3" w14:textId="14E6DDCC" w:rsidR="006B1CED" w:rsidRDefault="006B1CED" w:rsidP="00583BC0">
      <w:pPr>
        <w:pStyle w:val="ListParagraph"/>
        <w:numPr>
          <w:ilvl w:val="0"/>
          <w:numId w:val="26"/>
        </w:numPr>
      </w:pPr>
      <w:r>
        <w:t>(</w:t>
      </w:r>
      <w:r w:rsidRPr="006B1CED">
        <w:rPr>
          <w:b/>
        </w:rPr>
        <w:t>NEC</w:t>
      </w:r>
      <w:r>
        <w:t xml:space="preserve">) </w:t>
      </w:r>
      <w:r w:rsidRPr="006B1CED">
        <w:t>Support flexible priority order between beam reporting/CSI reporting</w:t>
      </w:r>
    </w:p>
    <w:p w14:paraId="673E1E73" w14:textId="77777777" w:rsidR="006B1CED" w:rsidRDefault="006B1CED" w:rsidP="00583BC0">
      <w:pPr>
        <w:pStyle w:val="ListParagraph"/>
        <w:numPr>
          <w:ilvl w:val="0"/>
          <w:numId w:val="26"/>
        </w:numPr>
      </w:pPr>
      <w:r>
        <w:t>(</w:t>
      </w:r>
      <w:r w:rsidRPr="006B1CED">
        <w:rPr>
          <w:b/>
        </w:rPr>
        <w:t>Samsung</w:t>
      </w:r>
      <w:r>
        <w:t>) Support the following priorities</w:t>
      </w:r>
    </w:p>
    <w:p w14:paraId="06C04F9C" w14:textId="0835087A" w:rsidR="00B9699A" w:rsidRDefault="00B9699A" w:rsidP="00583BC0">
      <w:pPr>
        <w:pStyle w:val="ListParagraph"/>
        <w:numPr>
          <w:ilvl w:val="1"/>
          <w:numId w:val="26"/>
        </w:numPr>
      </w:pPr>
      <w:r>
        <w:t>AP Beam report &gt; AP CSI report. P/SP: Beam report &lt; CSI report.</w:t>
      </w:r>
    </w:p>
    <w:p w14:paraId="3735A476" w14:textId="77777777" w:rsidR="006B1CED" w:rsidRDefault="006B1CED" w:rsidP="00583BC0">
      <w:pPr>
        <w:pStyle w:val="ListParagraph"/>
        <w:numPr>
          <w:ilvl w:val="1"/>
          <w:numId w:val="26"/>
        </w:numPr>
      </w:pPr>
      <w:r>
        <w:t>CRI/RSRP &gt; SSBRI/RSRP</w:t>
      </w:r>
    </w:p>
    <w:p w14:paraId="1B497FFE" w14:textId="260F9766" w:rsidR="006B1CED" w:rsidRDefault="005F6648" w:rsidP="00583BC0">
      <w:pPr>
        <w:pStyle w:val="ListParagraph"/>
        <w:numPr>
          <w:ilvl w:val="1"/>
          <w:numId w:val="26"/>
        </w:numPr>
      </w:pPr>
      <w:r>
        <w:t>normal beam</w:t>
      </w:r>
      <w:r w:rsidR="006B1CED">
        <w:t xml:space="preserve"> report &gt; </w:t>
      </w:r>
      <w:r>
        <w:t>G</w:t>
      </w:r>
      <w:r w:rsidR="006B1CED">
        <w:t xml:space="preserve">roup based </w:t>
      </w:r>
      <w:r>
        <w:t xml:space="preserve">beam </w:t>
      </w:r>
      <w:r w:rsidR="006B1CED">
        <w:t>report</w:t>
      </w:r>
    </w:p>
    <w:p w14:paraId="77D79733" w14:textId="22D9DEEA" w:rsidR="006B1CED" w:rsidRDefault="006B1CED" w:rsidP="00583BC0">
      <w:pPr>
        <w:pStyle w:val="ListParagraph"/>
        <w:numPr>
          <w:ilvl w:val="1"/>
          <w:numId w:val="26"/>
        </w:numPr>
      </w:pPr>
      <w:r>
        <w:t>Collision of two beam reports: (a) Send higher priority report only if merged size &gt; threshold; or (b) Merge reports if merged size &lt; threshold "</w:t>
      </w:r>
    </w:p>
    <w:p w14:paraId="6C2A7E99" w14:textId="2690EB67" w:rsidR="006B1CED" w:rsidRDefault="006B1CED" w:rsidP="00583BC0">
      <w:pPr>
        <w:pStyle w:val="ListParagraph"/>
        <w:numPr>
          <w:ilvl w:val="0"/>
          <w:numId w:val="26"/>
        </w:numPr>
      </w:pPr>
      <w:r>
        <w:t>(</w:t>
      </w:r>
      <w:r w:rsidRPr="006B1CED">
        <w:rPr>
          <w:b/>
        </w:rPr>
        <w:t>vivo</w:t>
      </w:r>
      <w:r>
        <w:t xml:space="preserve">) </w:t>
      </w:r>
      <w:r w:rsidRPr="006B1CED">
        <w:t>AP beam reporting &gt; P beam reporting; P beam reporting &gt; P CSI reporting</w:t>
      </w:r>
    </w:p>
    <w:p w14:paraId="20A38F75" w14:textId="030D81E7" w:rsidR="006B1CED" w:rsidRPr="006B1CED" w:rsidRDefault="006B1CED" w:rsidP="006B1CED">
      <w:pPr>
        <w:rPr>
          <w:highlight w:val="yellow"/>
        </w:rPr>
      </w:pPr>
      <w:r w:rsidRPr="006B1CED">
        <w:rPr>
          <w:highlight w:val="yellow"/>
        </w:rPr>
        <w:t>Proposal:</w:t>
      </w:r>
    </w:p>
    <w:p w14:paraId="383D3FC8" w14:textId="384684F1" w:rsidR="006B1CED" w:rsidRDefault="006B1CED" w:rsidP="00583BC0">
      <w:pPr>
        <w:pStyle w:val="ListParagraph"/>
        <w:numPr>
          <w:ilvl w:val="0"/>
          <w:numId w:val="27"/>
        </w:numPr>
        <w:rPr>
          <w:highlight w:val="yellow"/>
        </w:rPr>
      </w:pPr>
      <w:r>
        <w:rPr>
          <w:highlight w:val="yellow"/>
        </w:rPr>
        <w:t>Support at leas</w:t>
      </w:r>
      <w:r w:rsidR="006E6AA9">
        <w:rPr>
          <w:highlight w:val="yellow"/>
        </w:rPr>
        <w:t>t the following priority for beam management reports</w:t>
      </w:r>
    </w:p>
    <w:p w14:paraId="1FFAF8F5" w14:textId="3FD3C96E" w:rsidR="006B1CED" w:rsidRDefault="006B1CED" w:rsidP="00583BC0">
      <w:pPr>
        <w:pStyle w:val="ListParagraph"/>
        <w:numPr>
          <w:ilvl w:val="1"/>
          <w:numId w:val="27"/>
        </w:numPr>
        <w:rPr>
          <w:highlight w:val="yellow"/>
        </w:rPr>
      </w:pPr>
      <w:r>
        <w:rPr>
          <w:highlight w:val="yellow"/>
        </w:rPr>
        <w:t>AP beam report &gt; SP beam report &gt; P beam report</w:t>
      </w:r>
    </w:p>
    <w:p w14:paraId="3AE351CF" w14:textId="2A2D51B7" w:rsidR="005E6E94" w:rsidRDefault="005E6E94" w:rsidP="00583BC0">
      <w:pPr>
        <w:pStyle w:val="ListParagraph"/>
        <w:numPr>
          <w:ilvl w:val="1"/>
          <w:numId w:val="27"/>
        </w:numPr>
        <w:rPr>
          <w:highlight w:val="yellow"/>
        </w:rPr>
      </w:pPr>
      <w:r>
        <w:rPr>
          <w:highlight w:val="yellow"/>
        </w:rPr>
        <w:t>(Agreed already in CSI agenda item)</w:t>
      </w:r>
    </w:p>
    <w:p w14:paraId="29C9CBEB" w14:textId="77777777" w:rsidR="00CF4DFE" w:rsidRDefault="006E6AA9" w:rsidP="00583BC0">
      <w:pPr>
        <w:pStyle w:val="ListParagraph"/>
        <w:numPr>
          <w:ilvl w:val="0"/>
          <w:numId w:val="27"/>
        </w:numPr>
        <w:rPr>
          <w:highlight w:val="yellow"/>
        </w:rPr>
      </w:pPr>
      <w:r>
        <w:rPr>
          <w:highlight w:val="yellow"/>
        </w:rPr>
        <w:t xml:space="preserve">Offline discussion on </w:t>
      </w:r>
      <w:r w:rsidR="00CF4DFE">
        <w:rPr>
          <w:highlight w:val="yellow"/>
        </w:rPr>
        <w:t>the following:</w:t>
      </w:r>
    </w:p>
    <w:p w14:paraId="37FDCEC4" w14:textId="77777777" w:rsidR="005E6E94" w:rsidRDefault="00CF4DFE" w:rsidP="005E6E94">
      <w:pPr>
        <w:pStyle w:val="ListParagraph"/>
        <w:numPr>
          <w:ilvl w:val="1"/>
          <w:numId w:val="27"/>
        </w:numPr>
        <w:rPr>
          <w:highlight w:val="yellow"/>
        </w:rPr>
      </w:pPr>
      <w:r>
        <w:rPr>
          <w:highlight w:val="yellow"/>
        </w:rPr>
        <w:t>P</w:t>
      </w:r>
      <w:r w:rsidR="006E6AA9">
        <w:rPr>
          <w:highlight w:val="yellow"/>
        </w:rPr>
        <w:t>riority between beam management and CSI reports</w:t>
      </w:r>
    </w:p>
    <w:p w14:paraId="412A5786" w14:textId="78EC246D" w:rsidR="005E6E94" w:rsidRPr="005E6E94" w:rsidRDefault="005E6E94" w:rsidP="005E6E94">
      <w:pPr>
        <w:pStyle w:val="ListParagraph"/>
        <w:numPr>
          <w:ilvl w:val="2"/>
          <w:numId w:val="27"/>
        </w:numPr>
        <w:rPr>
          <w:highlight w:val="yellow"/>
        </w:rPr>
      </w:pPr>
      <w:r>
        <w:rPr>
          <w:highlight w:val="yellow"/>
        </w:rPr>
        <w:t>(</w:t>
      </w:r>
      <w:r w:rsidRPr="005E6E94">
        <w:rPr>
          <w:highlight w:val="yellow"/>
        </w:rPr>
        <w:t xml:space="preserve">Agreed already </w:t>
      </w:r>
      <w:r>
        <w:rPr>
          <w:highlight w:val="yellow"/>
        </w:rPr>
        <w:t>in CSI agenda item)</w:t>
      </w:r>
    </w:p>
    <w:p w14:paraId="60FC7D14" w14:textId="20147CC6" w:rsidR="006B1CED" w:rsidRDefault="00340332" w:rsidP="00583BC0">
      <w:pPr>
        <w:pStyle w:val="ListParagraph"/>
        <w:numPr>
          <w:ilvl w:val="1"/>
          <w:numId w:val="27"/>
        </w:numPr>
        <w:rPr>
          <w:highlight w:val="yellow"/>
        </w:rPr>
      </w:pPr>
      <w:r>
        <w:rPr>
          <w:highlight w:val="yellow"/>
        </w:rPr>
        <w:t>Priority rules between PUCCH and SRS when PUCCH carries beam management reports</w:t>
      </w:r>
    </w:p>
    <w:p w14:paraId="24A4E1CD" w14:textId="31F9BFE4" w:rsidR="004326D6" w:rsidRDefault="004326D6" w:rsidP="004326D6">
      <w:pPr>
        <w:pStyle w:val="ListParagraph"/>
        <w:numPr>
          <w:ilvl w:val="1"/>
          <w:numId w:val="27"/>
        </w:numPr>
        <w:rPr>
          <w:highlight w:val="yellow"/>
        </w:rPr>
      </w:pPr>
      <w:r>
        <w:rPr>
          <w:highlight w:val="yellow"/>
        </w:rPr>
        <w:t>Priority rules between CRI/RSRP reports and SSB/RSRP reports</w:t>
      </w:r>
    </w:p>
    <w:p w14:paraId="57B70E1A" w14:textId="2E365C8A" w:rsidR="004326D6" w:rsidRPr="00E63009" w:rsidRDefault="004326D6" w:rsidP="004326D6">
      <w:pPr>
        <w:pStyle w:val="ListParagraph"/>
        <w:numPr>
          <w:ilvl w:val="1"/>
          <w:numId w:val="27"/>
        </w:numPr>
        <w:rPr>
          <w:highlight w:val="yellow"/>
        </w:rPr>
      </w:pPr>
      <w:r w:rsidRPr="004326D6">
        <w:rPr>
          <w:highlight w:val="yellow"/>
        </w:rPr>
        <w:t>Priority rules between normal beam report</w:t>
      </w:r>
      <w:r w:rsidRPr="007A6626">
        <w:rPr>
          <w:highlight w:val="yellow"/>
        </w:rPr>
        <w:t xml:space="preserve"> and group-based beam report</w:t>
      </w:r>
    </w:p>
    <w:p w14:paraId="1C3FCF3B" w14:textId="5A5E2F57" w:rsidR="00340332" w:rsidRDefault="00340332" w:rsidP="00B94E9A">
      <w:pPr>
        <w:pStyle w:val="Heading3"/>
      </w:pPr>
      <w:r>
        <w:t>Reporting format</w:t>
      </w:r>
    </w:p>
    <w:p w14:paraId="6A4B14A3" w14:textId="328F5638" w:rsidR="00340332" w:rsidRDefault="00340332" w:rsidP="00583BC0">
      <w:pPr>
        <w:pStyle w:val="ListParagraph"/>
        <w:numPr>
          <w:ilvl w:val="0"/>
          <w:numId w:val="28"/>
        </w:numPr>
      </w:pPr>
      <w:r>
        <w:t>(</w:t>
      </w:r>
      <w:r w:rsidRPr="00340332">
        <w:rPr>
          <w:b/>
        </w:rPr>
        <w:t>Samsung</w:t>
      </w:r>
      <w:r>
        <w:t xml:space="preserve">) </w:t>
      </w:r>
      <w:r w:rsidRPr="00340332">
        <w:t>For periodic beam reporting on short PUCCH: (1) 2 beams ==&gt; 1 PUCCH instances, (2) 4 beams ==&gt; 2 PUCCH instances</w:t>
      </w:r>
    </w:p>
    <w:p w14:paraId="3FEB778A" w14:textId="7F6A1122" w:rsidR="00340332" w:rsidRDefault="00340332" w:rsidP="00583BC0">
      <w:pPr>
        <w:pStyle w:val="ListParagraph"/>
        <w:numPr>
          <w:ilvl w:val="0"/>
          <w:numId w:val="28"/>
        </w:numPr>
      </w:pPr>
      <w:r>
        <w:lastRenderedPageBreak/>
        <w:t>(</w:t>
      </w:r>
      <w:r w:rsidRPr="00340332">
        <w:rPr>
          <w:b/>
        </w:rPr>
        <w:t>Samsung</w:t>
      </w:r>
      <w:r>
        <w:t xml:space="preserve">) </w:t>
      </w:r>
      <w:r w:rsidRPr="00340332">
        <w:t>Aperiodic beam report on PUSCH comprised of one part only</w:t>
      </w:r>
    </w:p>
    <w:p w14:paraId="4C7CADEB" w14:textId="3DF2875D" w:rsidR="00B94E9A" w:rsidRDefault="00B94E9A" w:rsidP="00B94E9A">
      <w:pPr>
        <w:pStyle w:val="Heading3"/>
      </w:pPr>
      <w:r>
        <w:t>Group-based beam reporting</w:t>
      </w:r>
    </w:p>
    <w:p w14:paraId="13A456ED" w14:textId="0FA1402A" w:rsidR="00EA1641" w:rsidRDefault="00EA1641" w:rsidP="00583BC0">
      <w:pPr>
        <w:pStyle w:val="ListParagraph"/>
        <w:numPr>
          <w:ilvl w:val="0"/>
          <w:numId w:val="29"/>
        </w:numPr>
      </w:pPr>
      <w:r>
        <w:t>(</w:t>
      </w:r>
      <w:r w:rsidRPr="00EA1641">
        <w:rPr>
          <w:b/>
        </w:rPr>
        <w:t>Samsung</w:t>
      </w:r>
      <w:r>
        <w:t>)</w:t>
      </w:r>
      <w:r w:rsidRPr="00EA1641">
        <w:t xml:space="preserve"> Two RSRPs/CRIs reported. UE configured with two sets; 1 CSI-RS from each set reported, where CRIs correspond to the two different sets</w:t>
      </w:r>
    </w:p>
    <w:p w14:paraId="5C2C05F7" w14:textId="0F18A37D" w:rsidR="00EA1641" w:rsidRPr="00340332" w:rsidRDefault="00EA1641" w:rsidP="00583BC0">
      <w:pPr>
        <w:pStyle w:val="ListParagraph"/>
        <w:numPr>
          <w:ilvl w:val="0"/>
          <w:numId w:val="29"/>
        </w:numPr>
      </w:pPr>
      <w:r>
        <w:t>(</w:t>
      </w:r>
      <w:r w:rsidRPr="00EA1641">
        <w:rPr>
          <w:b/>
        </w:rPr>
        <w:t>ZTE</w:t>
      </w:r>
      <w:r>
        <w:t>)</w:t>
      </w:r>
      <w:r w:rsidRPr="00EA1641">
        <w:t xml:space="preserve"> </w:t>
      </w:r>
      <w:r>
        <w:t>Support 4 beams per group</w:t>
      </w:r>
    </w:p>
    <w:p w14:paraId="1589DD12" w14:textId="68CEEBCC" w:rsidR="00185C42" w:rsidRDefault="00B94E9A" w:rsidP="0046462E">
      <w:pPr>
        <w:pStyle w:val="Heading2"/>
      </w:pPr>
      <w:r>
        <w:t>DL beam indication</w:t>
      </w:r>
    </w:p>
    <w:p w14:paraId="3C03EF61" w14:textId="4F6D982F" w:rsidR="002A791C" w:rsidRDefault="0046462E" w:rsidP="002A791C">
      <w:r>
        <w:t xml:space="preserve">Several companies have pointed out issues with </w:t>
      </w:r>
      <w:r w:rsidR="002A791C">
        <w:t>38.213 Section</w:t>
      </w:r>
      <w:r w:rsidR="007311E2">
        <w:t>s</w:t>
      </w:r>
      <w:r w:rsidR="002A791C">
        <w:t xml:space="preserve"> 10.1</w:t>
      </w:r>
      <w:r w:rsidR="007311E2">
        <w:t>, 9.2.1</w:t>
      </w:r>
      <w:r w:rsidR="002A791C">
        <w:t xml:space="preserve"> and 38.214 </w:t>
      </w:r>
      <w:r>
        <w:t>Section 5.</w:t>
      </w:r>
      <w:r w:rsidR="0098691B">
        <w:t>1.5. For example, the following issues (non-exhaustive) have been identified:</w:t>
      </w:r>
    </w:p>
    <w:p w14:paraId="6538E10D" w14:textId="05F328DE" w:rsidR="0046462E" w:rsidRDefault="002A791C" w:rsidP="00583BC0">
      <w:pPr>
        <w:pStyle w:val="ListParagraph"/>
        <w:numPr>
          <w:ilvl w:val="0"/>
          <w:numId w:val="32"/>
        </w:numPr>
      </w:pPr>
      <w:r>
        <w:t>Align</w:t>
      </w:r>
      <w:r w:rsidR="0098691B">
        <w:t>ment</w:t>
      </w:r>
      <w:r>
        <w:t xml:space="preserve"> </w:t>
      </w:r>
      <w:r w:rsidR="0098691B">
        <w:t xml:space="preserve">of </w:t>
      </w:r>
      <w:r>
        <w:t>text in 38.213 with agreement on MAC-CE activation of TCI states for PDCCH</w:t>
      </w:r>
      <w:r w:rsidR="007311E2">
        <w:t xml:space="preserve"> and MAC-CE activation of spatial relations for PUCCH</w:t>
      </w:r>
    </w:p>
    <w:p w14:paraId="3B87060F" w14:textId="54DB7281" w:rsidR="002A791C" w:rsidRDefault="002A791C" w:rsidP="00583BC0">
      <w:pPr>
        <w:pStyle w:val="ListParagraph"/>
        <w:numPr>
          <w:ilvl w:val="1"/>
          <w:numId w:val="32"/>
        </w:numPr>
      </w:pPr>
      <w:r>
        <w:t>DCI format 1_0 does not contain a TCI field</w:t>
      </w:r>
    </w:p>
    <w:p w14:paraId="3A0401BD" w14:textId="17B56EA5" w:rsidR="002A791C" w:rsidRDefault="00572E58" w:rsidP="00583BC0">
      <w:pPr>
        <w:pStyle w:val="ListParagraph"/>
        <w:numPr>
          <w:ilvl w:val="0"/>
          <w:numId w:val="32"/>
        </w:numPr>
      </w:pPr>
      <w:r>
        <w:t>Alignment</w:t>
      </w:r>
      <w:r w:rsidR="0098691B">
        <w:t xml:space="preserve"> of</w:t>
      </w:r>
      <w:r w:rsidR="002A791C">
        <w:t xml:space="preserve"> text in 38.214 with agreement on MAC-CE activation of TCI states for PDSCH</w:t>
      </w:r>
    </w:p>
    <w:p w14:paraId="0DE63F86" w14:textId="46FF521C" w:rsidR="002A791C" w:rsidRDefault="002A791C" w:rsidP="00583BC0">
      <w:pPr>
        <w:pStyle w:val="ListParagraph"/>
        <w:numPr>
          <w:ilvl w:val="0"/>
          <w:numId w:val="32"/>
        </w:numPr>
      </w:pPr>
      <w:r>
        <w:t xml:space="preserve">Clarification of description in 38.214 regarding UE behaviour with respect to </w:t>
      </w:r>
      <w:r w:rsidRPr="002A791C">
        <w:rPr>
          <w:i/>
        </w:rPr>
        <w:t>TCI-</w:t>
      </w:r>
      <w:proofErr w:type="spellStart"/>
      <w:r w:rsidRPr="002A791C">
        <w:rPr>
          <w:i/>
        </w:rPr>
        <w:t>PresentInDCI</w:t>
      </w:r>
      <w:proofErr w:type="spellEnd"/>
      <w:r>
        <w:t xml:space="preserve"> Enabled/Disabled and PDSCH scheduling offset less/greater than threshold</w:t>
      </w:r>
    </w:p>
    <w:p w14:paraId="2EAE3877" w14:textId="54EF451A" w:rsidR="004D0103" w:rsidRDefault="0098691B" w:rsidP="00583BC0">
      <w:pPr>
        <w:pStyle w:val="ListParagraph"/>
        <w:numPr>
          <w:ilvl w:val="0"/>
          <w:numId w:val="32"/>
        </w:numPr>
      </w:pPr>
      <w:r>
        <w:t>…</w:t>
      </w:r>
    </w:p>
    <w:p w14:paraId="4D53C827" w14:textId="7FF4654A" w:rsidR="004D0103" w:rsidRDefault="004D0103" w:rsidP="004D0103">
      <w:r>
        <w:t xml:space="preserve">Two companies identified that timing of the MAC-CE messages for beam indication requires specification. The following proposals appear in </w:t>
      </w:r>
      <w:proofErr w:type="spellStart"/>
      <w:r>
        <w:t>Tdocs</w:t>
      </w:r>
      <w:proofErr w:type="spellEnd"/>
    </w:p>
    <w:p w14:paraId="5DDEC89C" w14:textId="4D359AC2" w:rsidR="004D0103" w:rsidRDefault="004D0103" w:rsidP="00583BC0">
      <w:pPr>
        <w:pStyle w:val="ListParagraph"/>
        <w:numPr>
          <w:ilvl w:val="0"/>
          <w:numId w:val="35"/>
        </w:numPr>
      </w:pPr>
      <w:r>
        <w:t>(</w:t>
      </w:r>
      <w:r w:rsidRPr="007311E2">
        <w:rPr>
          <w:b/>
        </w:rPr>
        <w:t>Docomo</w:t>
      </w:r>
      <w:r>
        <w:t xml:space="preserve">) </w:t>
      </w:r>
      <w:r w:rsidRPr="004D0103">
        <w:t>Activation delay of TCI states</w:t>
      </w:r>
      <w:r>
        <w:t>/spatial relation</w:t>
      </w:r>
      <w:r w:rsidRPr="004D0103">
        <w:t xml:space="preserve"> for </w:t>
      </w:r>
      <w:r>
        <w:t>PDSCH/PDCC</w:t>
      </w:r>
      <w:r w:rsidRPr="004D0103">
        <w:t>H</w:t>
      </w:r>
      <w:r>
        <w:t>/PUCCH</w:t>
      </w:r>
      <w:r w:rsidRPr="004D0103">
        <w:t xml:space="preserve"> = 2*k, where k = PDSCH HARQ reception latency in slots</w:t>
      </w:r>
    </w:p>
    <w:p w14:paraId="6A643920" w14:textId="5D84DEBE" w:rsidR="004D0103" w:rsidRDefault="007311E2" w:rsidP="00583BC0">
      <w:pPr>
        <w:pStyle w:val="ListParagraph"/>
        <w:numPr>
          <w:ilvl w:val="0"/>
          <w:numId w:val="35"/>
        </w:numPr>
      </w:pPr>
      <w:r>
        <w:t>(</w:t>
      </w:r>
      <w:r w:rsidRPr="007311E2">
        <w:rPr>
          <w:b/>
        </w:rPr>
        <w:t>Qualcomm</w:t>
      </w:r>
      <w:r>
        <w:t>) Activation delay = 20 slots</w:t>
      </w:r>
    </w:p>
    <w:p w14:paraId="07A8C9E3" w14:textId="213E342C" w:rsidR="00A71EC7" w:rsidRDefault="00A71EC7" w:rsidP="0098691B">
      <w:r>
        <w:t xml:space="preserve">In addition to the above there </w:t>
      </w:r>
      <w:r w:rsidR="001C63B2">
        <w:t xml:space="preserve">various </w:t>
      </w:r>
      <w:r w:rsidR="00572E58">
        <w:t>proposals from companies for modifications/extensions of the agreed TCI framework such as</w:t>
      </w:r>
    </w:p>
    <w:p w14:paraId="13DF8E07" w14:textId="1728C856" w:rsidR="005006EB" w:rsidRDefault="005006EB" w:rsidP="00583BC0">
      <w:pPr>
        <w:pStyle w:val="ListParagraph"/>
        <w:numPr>
          <w:ilvl w:val="0"/>
          <w:numId w:val="33"/>
        </w:numPr>
      </w:pPr>
      <w:r>
        <w:t>Default QCL assumption for aperiodic CSI-RS resource set if scheduling offset is less than a threshold (like for PDSCH)</w:t>
      </w:r>
    </w:p>
    <w:p w14:paraId="752D23C5" w14:textId="32DCE96F" w:rsidR="00572E58" w:rsidRDefault="00572E58" w:rsidP="00583BC0">
      <w:pPr>
        <w:pStyle w:val="ListParagraph"/>
        <w:numPr>
          <w:ilvl w:val="0"/>
          <w:numId w:val="33"/>
        </w:numPr>
      </w:pPr>
      <w:r>
        <w:t xml:space="preserve">Clarification of timing between DCI reception and PDSCH </w:t>
      </w:r>
      <w:r w:rsidR="001C63B2">
        <w:t>transmission (scheduling offset)</w:t>
      </w:r>
      <w:r w:rsidR="005006EB">
        <w:t xml:space="preserve">, including when PDSCH is FDM with </w:t>
      </w:r>
      <w:proofErr w:type="spellStart"/>
      <w:r w:rsidR="005006EB">
        <w:t>QCL’d</w:t>
      </w:r>
      <w:proofErr w:type="spellEnd"/>
      <w:r w:rsidR="005006EB">
        <w:t xml:space="preserve"> SSB</w:t>
      </w:r>
    </w:p>
    <w:p w14:paraId="21DD21F3" w14:textId="77777777" w:rsidR="005006EB" w:rsidRDefault="005006EB" w:rsidP="00583BC0">
      <w:pPr>
        <w:pStyle w:val="ListParagraph"/>
        <w:numPr>
          <w:ilvl w:val="0"/>
          <w:numId w:val="33"/>
        </w:numPr>
      </w:pPr>
      <w:r>
        <w:t>MAC-CE activation of TCI states even if TCI field is not present in DCI or if the PDSCH scheduling offset is less than a threshold</w:t>
      </w:r>
    </w:p>
    <w:p w14:paraId="47E22053" w14:textId="7D78A663" w:rsidR="002A56D5" w:rsidRDefault="002A56D5" w:rsidP="00583BC0">
      <w:pPr>
        <w:pStyle w:val="ListParagraph"/>
        <w:numPr>
          <w:ilvl w:val="0"/>
          <w:numId w:val="33"/>
        </w:numPr>
      </w:pPr>
      <w:r w:rsidRPr="00AE64CF">
        <w:rPr>
          <w:b/>
        </w:rPr>
        <w:t xml:space="preserve">(Intel) </w:t>
      </w:r>
      <w:r>
        <w:t>the CORESET used to determine default PDSCH TCI when scheduling offset is below a threshold should exclude the CORESET for beam failure recovery</w:t>
      </w:r>
    </w:p>
    <w:p w14:paraId="5CF0D11E" w14:textId="35532492" w:rsidR="004D0103" w:rsidRDefault="00572E58" w:rsidP="00583BC0">
      <w:pPr>
        <w:pStyle w:val="ListParagraph"/>
        <w:numPr>
          <w:ilvl w:val="0"/>
          <w:numId w:val="33"/>
        </w:numPr>
      </w:pPr>
      <w:r>
        <w:t>…</w:t>
      </w:r>
    </w:p>
    <w:p w14:paraId="79AFB97B" w14:textId="483E8126" w:rsidR="00572E58" w:rsidRPr="00572E58" w:rsidRDefault="00572E58" w:rsidP="00572E58">
      <w:pPr>
        <w:rPr>
          <w:highlight w:val="yellow"/>
        </w:rPr>
      </w:pPr>
      <w:r w:rsidRPr="00572E58">
        <w:rPr>
          <w:highlight w:val="yellow"/>
        </w:rPr>
        <w:t>Proposals:</w:t>
      </w:r>
    </w:p>
    <w:p w14:paraId="72123C01" w14:textId="0DCDDE3E" w:rsidR="00521182" w:rsidRDefault="007311E2" w:rsidP="00583BC0">
      <w:pPr>
        <w:pStyle w:val="ListParagraph"/>
        <w:numPr>
          <w:ilvl w:val="0"/>
          <w:numId w:val="33"/>
        </w:numPr>
        <w:rPr>
          <w:highlight w:val="yellow"/>
        </w:rPr>
      </w:pPr>
      <w:r>
        <w:rPr>
          <w:highlight w:val="yellow"/>
        </w:rPr>
        <w:t>Offline discussion to establish MAC-CE activation/deactivation latencies</w:t>
      </w:r>
    </w:p>
    <w:p w14:paraId="2DD3B8D5" w14:textId="2E2312E2" w:rsidR="00521182" w:rsidRPr="00521182" w:rsidRDefault="00521182" w:rsidP="00583BC0">
      <w:pPr>
        <w:pStyle w:val="ListParagraph"/>
        <w:numPr>
          <w:ilvl w:val="1"/>
          <w:numId w:val="33"/>
        </w:numPr>
        <w:rPr>
          <w:highlight w:val="yellow"/>
        </w:rPr>
      </w:pPr>
      <w:r>
        <w:rPr>
          <w:highlight w:val="yellow"/>
        </w:rPr>
        <w:t>Consider at least 1 and 2 slots as possibilities</w:t>
      </w:r>
    </w:p>
    <w:p w14:paraId="38311A3A" w14:textId="4887C317" w:rsidR="00A358DB" w:rsidRDefault="00572E58" w:rsidP="00583BC0">
      <w:pPr>
        <w:pStyle w:val="ListParagraph"/>
        <w:numPr>
          <w:ilvl w:val="0"/>
          <w:numId w:val="33"/>
        </w:numPr>
        <w:rPr>
          <w:highlight w:val="yellow"/>
        </w:rPr>
      </w:pPr>
      <w:r w:rsidRPr="00572E58">
        <w:rPr>
          <w:highlight w:val="yellow"/>
        </w:rPr>
        <w:t>Offline discussion to identify potential areas where the agreed TCI framework may or may not require modification/extension</w:t>
      </w:r>
    </w:p>
    <w:p w14:paraId="1894139C" w14:textId="48358F20" w:rsidR="002A56D5" w:rsidRPr="00572E58" w:rsidRDefault="002A56D5" w:rsidP="00AE64CF">
      <w:pPr>
        <w:pStyle w:val="ListParagraph"/>
        <w:numPr>
          <w:ilvl w:val="1"/>
          <w:numId w:val="33"/>
        </w:numPr>
        <w:rPr>
          <w:highlight w:val="yellow"/>
        </w:rPr>
      </w:pPr>
      <w:r>
        <w:rPr>
          <w:highlight w:val="yellow"/>
        </w:rPr>
        <w:t>Clarify the CORESET used to determine the default PDSCH TCI, e.g. whether CORESET for beam failure recovery can be considered</w:t>
      </w:r>
    </w:p>
    <w:p w14:paraId="48C9653E" w14:textId="090D6044" w:rsidR="0008103B" w:rsidRDefault="0008103B" w:rsidP="00B94E9A">
      <w:pPr>
        <w:pStyle w:val="Heading2"/>
      </w:pPr>
      <w:r>
        <w:t>DL beam management</w:t>
      </w:r>
    </w:p>
    <w:p w14:paraId="6132D39D" w14:textId="7FFD2D49" w:rsidR="0008103B" w:rsidRDefault="0008103B" w:rsidP="00583BC0">
      <w:pPr>
        <w:pStyle w:val="ListParagraph"/>
        <w:numPr>
          <w:ilvl w:val="0"/>
          <w:numId w:val="34"/>
        </w:numPr>
      </w:pPr>
      <w:r>
        <w:t>(</w:t>
      </w:r>
      <w:r w:rsidRPr="00DF3563">
        <w:rPr>
          <w:b/>
        </w:rPr>
        <w:t>Huawei</w:t>
      </w:r>
      <w:r>
        <w:t xml:space="preserve">) </w:t>
      </w:r>
      <w:r w:rsidRPr="0008103B">
        <w:t>UE provides requested # of CSI-RS resources for UE Rx beam sweeping</w:t>
      </w:r>
    </w:p>
    <w:p w14:paraId="2EBF4AD9" w14:textId="32FD8B7C" w:rsidR="0008103B" w:rsidRDefault="0008103B" w:rsidP="00583BC0">
      <w:pPr>
        <w:pStyle w:val="ListParagraph"/>
        <w:numPr>
          <w:ilvl w:val="0"/>
          <w:numId w:val="34"/>
        </w:numPr>
      </w:pPr>
      <w:r>
        <w:t>(</w:t>
      </w:r>
      <w:proofErr w:type="spellStart"/>
      <w:r w:rsidRPr="00DF3563">
        <w:rPr>
          <w:b/>
        </w:rPr>
        <w:t>MediaTek</w:t>
      </w:r>
      <w:proofErr w:type="spellEnd"/>
      <w:r>
        <w:t xml:space="preserve">) </w:t>
      </w:r>
      <w:r w:rsidR="005006EB">
        <w:t xml:space="preserve">Specify </w:t>
      </w:r>
      <w:r w:rsidR="001C63B2">
        <w:t xml:space="preserve">P1, P2, P3 </w:t>
      </w:r>
      <w:proofErr w:type="spellStart"/>
      <w:r w:rsidR="004D0103">
        <w:t>behavior</w:t>
      </w:r>
      <w:proofErr w:type="spellEnd"/>
      <w:r w:rsidR="005006EB">
        <w:t xml:space="preserve"> </w:t>
      </w:r>
      <w:r w:rsidR="001C63B2">
        <w:t>through configuration of repetition ON vs. OFF and whether or not spatial QCL information is provided</w:t>
      </w:r>
    </w:p>
    <w:p w14:paraId="34B29BA0" w14:textId="6088F419" w:rsidR="001C63B2" w:rsidRPr="0008103B" w:rsidRDefault="005006EB" w:rsidP="00583BC0">
      <w:pPr>
        <w:pStyle w:val="ListParagraph"/>
        <w:numPr>
          <w:ilvl w:val="0"/>
          <w:numId w:val="34"/>
        </w:numPr>
      </w:pPr>
      <w:r>
        <w:t>(</w:t>
      </w:r>
      <w:proofErr w:type="spellStart"/>
      <w:r w:rsidRPr="00DF3563">
        <w:rPr>
          <w:b/>
        </w:rPr>
        <w:t>MediaTek</w:t>
      </w:r>
      <w:proofErr w:type="spellEnd"/>
      <w:r>
        <w:t xml:space="preserve">) </w:t>
      </w:r>
      <w:r w:rsidRPr="005006EB">
        <w:t>UE not expected to receive CSI-RS for beam management and PDSCH in the same OFDM symbol</w:t>
      </w:r>
    </w:p>
    <w:p w14:paraId="52DD1097" w14:textId="1CF8E75D" w:rsidR="00B94E9A" w:rsidRDefault="00B94E9A" w:rsidP="00B94E9A">
      <w:pPr>
        <w:pStyle w:val="Heading2"/>
      </w:pPr>
      <w:r>
        <w:lastRenderedPageBreak/>
        <w:t>UL beam indication</w:t>
      </w:r>
    </w:p>
    <w:p w14:paraId="67B6AA15" w14:textId="39F92FB4" w:rsidR="00BB7EC8" w:rsidRDefault="007311E2" w:rsidP="007311E2">
      <w:r>
        <w:t xml:space="preserve">In RAN1#91, UL beam </w:t>
      </w:r>
      <w:r w:rsidR="00BB7EC8">
        <w:t xml:space="preserve">indication was agreed for PUCCH, whereby a list of spatial relations is configured and MAC-CE activates one of them. The elements of the list contain the ID of an SSB, CSI-RS, or SRS resource. In this way, dynamic beam indication is achieved. Interestingly, no such agreement has been made for PUSCH. Several proposals appear in </w:t>
      </w:r>
      <w:proofErr w:type="spellStart"/>
      <w:r w:rsidR="00BB7EC8">
        <w:t>Tdocs</w:t>
      </w:r>
      <w:proofErr w:type="spellEnd"/>
      <w:r w:rsidR="00BB7EC8">
        <w:t xml:space="preserve"> in this area</w:t>
      </w:r>
      <w:r w:rsidR="00DC51DE">
        <w:t>, illustrating 3 different approaches. One approach is based on using SRI for PUSCH beam indication. A second approach is based on a rule whereby PUSCH uses a spatial relation to the DL RS contained in the TCI state used for PDCCH QCL indication. A third approach reuses the TCI framework from the DL by including a TCI field in UL DCI, and potentially including SRS in the TCI state configuration.</w:t>
      </w:r>
    </w:p>
    <w:p w14:paraId="214C33A6" w14:textId="6BE866BB" w:rsidR="00BB7EC8" w:rsidRDefault="00BB7EC8" w:rsidP="00583BC0">
      <w:pPr>
        <w:pStyle w:val="ListParagraph"/>
        <w:numPr>
          <w:ilvl w:val="0"/>
          <w:numId w:val="36"/>
        </w:numPr>
      </w:pPr>
      <w:r>
        <w:t>(</w:t>
      </w:r>
      <w:r w:rsidRPr="00146DAD">
        <w:rPr>
          <w:b/>
        </w:rPr>
        <w:t>CATT</w:t>
      </w:r>
      <w:r>
        <w:t xml:space="preserve">) </w:t>
      </w:r>
      <w:r w:rsidRPr="00BB7EC8">
        <w:t xml:space="preserve">UL grant contains SRI pointing to </w:t>
      </w:r>
      <w:r w:rsidR="00DC51DE">
        <w:t xml:space="preserve">a </w:t>
      </w:r>
      <w:r w:rsidRPr="00BB7EC8">
        <w:t>previously transmitted SRS, CSI-RS, or SSB</w:t>
      </w:r>
    </w:p>
    <w:p w14:paraId="4DB9F976" w14:textId="47FA65C8" w:rsidR="00900512" w:rsidRDefault="00900512" w:rsidP="00583BC0">
      <w:pPr>
        <w:pStyle w:val="ListParagraph"/>
        <w:numPr>
          <w:ilvl w:val="0"/>
          <w:numId w:val="36"/>
        </w:numPr>
      </w:pPr>
      <w:r>
        <w:t>(</w:t>
      </w:r>
      <w:r w:rsidRPr="00146DAD">
        <w:rPr>
          <w:b/>
        </w:rPr>
        <w:t>CATT</w:t>
      </w:r>
      <w:r>
        <w:t xml:space="preserve">) </w:t>
      </w:r>
      <w:r w:rsidRPr="00900512">
        <w:t xml:space="preserve">For multi-panel, UL grant contains SRI where the SRI points </w:t>
      </w:r>
      <w:r>
        <w:t>to</w:t>
      </w:r>
      <w:r w:rsidRPr="00900512">
        <w:t xml:space="preserve"> one or multiple previously transmitted SRS</w:t>
      </w:r>
    </w:p>
    <w:p w14:paraId="75C5B9DC" w14:textId="66942216" w:rsidR="00DC51DE" w:rsidRDefault="00DC51DE" w:rsidP="00583BC0">
      <w:pPr>
        <w:pStyle w:val="ListParagraph"/>
        <w:numPr>
          <w:ilvl w:val="0"/>
          <w:numId w:val="36"/>
        </w:numPr>
      </w:pPr>
      <w:r>
        <w:t>(</w:t>
      </w:r>
      <w:r w:rsidRPr="00146DAD">
        <w:rPr>
          <w:b/>
        </w:rPr>
        <w:t>Ericsson</w:t>
      </w:r>
      <w:r>
        <w:t>) For PUSCH beam indication, i</w:t>
      </w:r>
      <w:r w:rsidRPr="00DC51DE">
        <w:t xml:space="preserve">f SRS not configured, </w:t>
      </w:r>
      <w:r w:rsidR="00C93E71">
        <w:t xml:space="preserve">UE assumes </w:t>
      </w:r>
      <w:r w:rsidRPr="00DC51DE">
        <w:t xml:space="preserve">spatial relation to </w:t>
      </w:r>
      <w:r w:rsidR="00C93E71">
        <w:t xml:space="preserve">the </w:t>
      </w:r>
      <w:r w:rsidRPr="00DC51DE">
        <w:t xml:space="preserve">DL RS provided by </w:t>
      </w:r>
      <w:r w:rsidR="00C93E71">
        <w:t xml:space="preserve">the </w:t>
      </w:r>
      <w:r w:rsidRPr="00DC51DE">
        <w:t>TCI state used for PDCCH QCL</w:t>
      </w:r>
      <w:r>
        <w:t xml:space="preserve"> indication</w:t>
      </w:r>
      <w:r w:rsidRPr="00DC51DE">
        <w:t xml:space="preserve"> (</w:t>
      </w:r>
      <w:r>
        <w:t xml:space="preserve">i.e., the PDCCH carrying the </w:t>
      </w:r>
      <w:r w:rsidRPr="00DC51DE">
        <w:t>DCI that schedules PUSCH)</w:t>
      </w:r>
    </w:p>
    <w:p w14:paraId="2CF73A40" w14:textId="097BEEBA" w:rsidR="0057097E" w:rsidRDefault="00DC51DE" w:rsidP="006800A1">
      <w:pPr>
        <w:pStyle w:val="ListParagraph"/>
        <w:numPr>
          <w:ilvl w:val="0"/>
          <w:numId w:val="36"/>
        </w:numPr>
      </w:pPr>
      <w:r>
        <w:t>(</w:t>
      </w:r>
      <w:r w:rsidRPr="00146DAD">
        <w:rPr>
          <w:b/>
        </w:rPr>
        <w:t>Interdigital</w:t>
      </w:r>
      <w:r>
        <w:t xml:space="preserve">) </w:t>
      </w:r>
      <w:r w:rsidRPr="00DC51DE">
        <w:t>Reuse TCI framework for UL. Add SRS to TCI state definition.</w:t>
      </w:r>
      <w:r w:rsidR="0057097E">
        <w:t>(</w:t>
      </w:r>
      <w:r w:rsidR="0057097E" w:rsidRPr="00AE64CF">
        <w:rPr>
          <w:b/>
        </w:rPr>
        <w:t>LGE</w:t>
      </w:r>
      <w:r w:rsidR="0057097E">
        <w:t xml:space="preserve">) </w:t>
      </w:r>
      <w:r w:rsidR="001F7CC9">
        <w:t>We do not see any need to define a separate beam indication for PUSCH. For non-codebook based transmission, SRI(s) are indicated in the UL related DCI so that UE can apply the indicated SRS beam for the PUSCH transmission. For codebook based transmission, an SRI is indicated together with TPMI/TRI so that UE can apply the indicated SRS beam for the PUSCH transmission. Besides, it may be clarified (if necessary), b</w:t>
      </w:r>
      <w:r w:rsidR="0057097E">
        <w:t xml:space="preserve">efore SRS is configured for codebook-based or non-codebook-based UL, UE may transmit PUSCH in </w:t>
      </w:r>
      <w:r w:rsidR="00D24D6D">
        <w:t xml:space="preserve">the same direction as </w:t>
      </w:r>
      <w:proofErr w:type="spellStart"/>
      <w:r w:rsidR="0057097E">
        <w:t>Msg</w:t>
      </w:r>
      <w:proofErr w:type="spellEnd"/>
      <w:r w:rsidR="0057097E">
        <w:t xml:space="preserve"> 3 </w:t>
      </w:r>
      <w:r w:rsidR="00D24D6D">
        <w:t>PUSCH.</w:t>
      </w:r>
    </w:p>
    <w:p w14:paraId="436B5C79" w14:textId="2731699B" w:rsidR="008003D8" w:rsidRDefault="008003D8" w:rsidP="006800A1">
      <w:pPr>
        <w:pStyle w:val="ListParagraph"/>
        <w:numPr>
          <w:ilvl w:val="0"/>
          <w:numId w:val="36"/>
        </w:numPr>
      </w:pPr>
      <w:r>
        <w:t>(HW) We</w:t>
      </w:r>
      <w:r w:rsidR="00580CA5">
        <w:t xml:space="preserve"> share similar view with LGE and Samsung where current SRI-based framework is sufficient for PUSCH. If needed, further specification clarification can be discussed to link spatial relationship bet</w:t>
      </w:r>
      <w:r w:rsidR="00A67545">
        <w:t>ween SRS ports and PUSCH ports.</w:t>
      </w:r>
    </w:p>
    <w:p w14:paraId="2DAD3780" w14:textId="396FAE7B" w:rsidR="00A67545" w:rsidRPr="00A67545" w:rsidRDefault="00A67545" w:rsidP="006800A1">
      <w:pPr>
        <w:pStyle w:val="ListParagraph"/>
        <w:numPr>
          <w:ilvl w:val="0"/>
          <w:numId w:val="36"/>
        </w:numPr>
      </w:pPr>
      <w:r>
        <w:t>(Samsung): T</w:t>
      </w:r>
      <w:r w:rsidRPr="00A67545">
        <w:t>he function of ‘beam indication’ for PUSCH has been agreed and specified in CB-based and non-CB-based PUSCH session. For CB-based PUSCH: one SRI in DCI. For non-CB-based: one or multiple SRI in DCI. We do not discuss this here</w:t>
      </w:r>
    </w:p>
    <w:p w14:paraId="3E0BC111" w14:textId="47A4EAAE" w:rsidR="00900512" w:rsidRDefault="00900512" w:rsidP="00900512">
      <w:r w:rsidRPr="00900512">
        <w:t>One</w:t>
      </w:r>
      <w:r>
        <w:t xml:space="preserve"> company identified that no default spatial relation has yet been defined prior to MAC-CE activation of the spatial relation of PUCCH. The proposal in the </w:t>
      </w:r>
      <w:proofErr w:type="spellStart"/>
      <w:r>
        <w:t>Tdoc</w:t>
      </w:r>
      <w:proofErr w:type="spellEnd"/>
      <w:r>
        <w:t xml:space="preserve"> is as follows</w:t>
      </w:r>
      <w:r w:rsidRPr="00900512">
        <w:t xml:space="preserve"> </w:t>
      </w:r>
    </w:p>
    <w:p w14:paraId="1CCBF20D" w14:textId="69137F71" w:rsidR="00146DAD" w:rsidRDefault="00146DAD" w:rsidP="00583BC0">
      <w:pPr>
        <w:pStyle w:val="ListParagraph"/>
        <w:numPr>
          <w:ilvl w:val="0"/>
          <w:numId w:val="38"/>
        </w:numPr>
      </w:pPr>
      <w:r>
        <w:t>(</w:t>
      </w:r>
      <w:r w:rsidRPr="00146DAD">
        <w:rPr>
          <w:b/>
        </w:rPr>
        <w:t>Fujitsu</w:t>
      </w:r>
      <w:r>
        <w:t xml:space="preserve">) </w:t>
      </w:r>
      <w:r w:rsidRPr="00146DAD">
        <w:t xml:space="preserve">After RRC configuration of </w:t>
      </w:r>
      <w:r w:rsidRPr="00146DAD">
        <w:rPr>
          <w:i/>
        </w:rPr>
        <w:t>PUCCH-</w:t>
      </w:r>
      <w:proofErr w:type="spellStart"/>
      <w:r w:rsidRPr="00146DAD">
        <w:rPr>
          <w:i/>
        </w:rPr>
        <w:t>SpatialRelationInfo</w:t>
      </w:r>
      <w:proofErr w:type="spellEnd"/>
      <w:r w:rsidRPr="00146DAD">
        <w:t xml:space="preserve"> and before MAC-CE activation of spatial relation, UE transmits PUCCH in same direction as </w:t>
      </w:r>
      <w:proofErr w:type="spellStart"/>
      <w:r w:rsidRPr="00146DAD">
        <w:t>Msg</w:t>
      </w:r>
      <w:proofErr w:type="spellEnd"/>
      <w:r w:rsidRPr="00146DAD">
        <w:t xml:space="preserve"> 3 PUSCH</w:t>
      </w:r>
    </w:p>
    <w:p w14:paraId="466ECD71" w14:textId="0A0A5B2C" w:rsidR="00D24D6D" w:rsidRPr="00900512" w:rsidRDefault="00D24D6D" w:rsidP="00D24D6D">
      <w:pPr>
        <w:pStyle w:val="ListParagraph"/>
        <w:numPr>
          <w:ilvl w:val="0"/>
          <w:numId w:val="38"/>
        </w:numPr>
      </w:pPr>
      <w:r>
        <w:t>(</w:t>
      </w:r>
      <w:r>
        <w:rPr>
          <w:b/>
        </w:rPr>
        <w:t>LGE</w:t>
      </w:r>
      <w:r>
        <w:t xml:space="preserve">) </w:t>
      </w:r>
      <w:r w:rsidRPr="00146DAD">
        <w:t xml:space="preserve">After RRC configuration of </w:t>
      </w:r>
      <w:r w:rsidRPr="00146DAD">
        <w:rPr>
          <w:i/>
        </w:rPr>
        <w:t>PUCCH-</w:t>
      </w:r>
      <w:proofErr w:type="spellStart"/>
      <w:r w:rsidRPr="00146DAD">
        <w:rPr>
          <w:i/>
        </w:rPr>
        <w:t>SpatialRelationInfo</w:t>
      </w:r>
      <w:proofErr w:type="spellEnd"/>
      <w:r w:rsidRPr="00146DAD">
        <w:t xml:space="preserve"> and before MAC-CE activation of spatial relation, UE transmits PUCCH </w:t>
      </w:r>
      <w:r w:rsidR="00611D08">
        <w:t xml:space="preserve">using the first entry of </w:t>
      </w:r>
      <w:r w:rsidR="00611D08" w:rsidRPr="00146DAD">
        <w:rPr>
          <w:i/>
        </w:rPr>
        <w:t>PUCCH-</w:t>
      </w:r>
      <w:proofErr w:type="spellStart"/>
      <w:r w:rsidR="00611D08" w:rsidRPr="00146DAD">
        <w:rPr>
          <w:i/>
        </w:rPr>
        <w:t>SpatialRelationInfo</w:t>
      </w:r>
      <w:proofErr w:type="spellEnd"/>
      <w:r w:rsidR="00611D08">
        <w:t>.</w:t>
      </w:r>
    </w:p>
    <w:p w14:paraId="44AA4436" w14:textId="1A4A946C" w:rsidR="00900512" w:rsidRDefault="00900512" w:rsidP="00900512">
      <w:pPr>
        <w:rPr>
          <w:highlight w:val="yellow"/>
        </w:rPr>
      </w:pPr>
      <w:r w:rsidRPr="00900512">
        <w:rPr>
          <w:highlight w:val="yellow"/>
        </w:rPr>
        <w:t>Proposal</w:t>
      </w:r>
    </w:p>
    <w:p w14:paraId="3A2CA104" w14:textId="477A4D31" w:rsidR="00A67545" w:rsidRDefault="00A67545" w:rsidP="00CF3810">
      <w:pPr>
        <w:pStyle w:val="ListParagraph"/>
        <w:numPr>
          <w:ilvl w:val="0"/>
          <w:numId w:val="40"/>
        </w:numPr>
        <w:rPr>
          <w:highlight w:val="yellow"/>
        </w:rPr>
      </w:pPr>
      <w:r>
        <w:rPr>
          <w:highlight w:val="yellow"/>
        </w:rPr>
        <w:t>Offline discussion targeting a WF on PUSCH beam indication</w:t>
      </w:r>
    </w:p>
    <w:p w14:paraId="39F03B20" w14:textId="1F560416" w:rsidR="00A67545" w:rsidRDefault="00A67545" w:rsidP="00CF3810">
      <w:pPr>
        <w:pStyle w:val="ListParagraph"/>
        <w:numPr>
          <w:ilvl w:val="1"/>
          <w:numId w:val="40"/>
        </w:numPr>
        <w:rPr>
          <w:highlight w:val="yellow"/>
        </w:rPr>
      </w:pPr>
      <w:r>
        <w:rPr>
          <w:highlight w:val="yellow"/>
        </w:rPr>
        <w:t>Consider case of no SRS configured</w:t>
      </w:r>
    </w:p>
    <w:p w14:paraId="41E775DE" w14:textId="3934BD7F" w:rsidR="00A67545" w:rsidRPr="00A67545" w:rsidRDefault="00A67545" w:rsidP="00CF3810">
      <w:pPr>
        <w:pStyle w:val="ListParagraph"/>
        <w:numPr>
          <w:ilvl w:val="0"/>
          <w:numId w:val="40"/>
        </w:numPr>
        <w:rPr>
          <w:highlight w:val="yellow"/>
        </w:rPr>
      </w:pPr>
      <w:r>
        <w:rPr>
          <w:highlight w:val="yellow"/>
        </w:rPr>
        <w:t>Agree on default spatial relation for PUCCH</w:t>
      </w:r>
    </w:p>
    <w:p w14:paraId="4FE86290" w14:textId="374C756E" w:rsidR="00DC51DE" w:rsidRDefault="00256E5F" w:rsidP="00256E5F">
      <w:pPr>
        <w:pStyle w:val="Heading2"/>
      </w:pPr>
      <w:r>
        <w:t>UL beam management</w:t>
      </w:r>
    </w:p>
    <w:p w14:paraId="0B41DDD9" w14:textId="09142E76" w:rsidR="00256E5F" w:rsidRDefault="00256E5F" w:rsidP="00256E5F">
      <w:r>
        <w:t xml:space="preserve">Several proposals appear in </w:t>
      </w:r>
      <w:proofErr w:type="spellStart"/>
      <w:r>
        <w:t>Tdocs</w:t>
      </w:r>
      <w:proofErr w:type="spellEnd"/>
      <w:r>
        <w:t xml:space="preserve"> on the configuration of SRS for the purposes of UL beam sweeping as follows:</w:t>
      </w:r>
    </w:p>
    <w:p w14:paraId="664713EC" w14:textId="6102F957" w:rsidR="00256E5F" w:rsidRDefault="00256E5F" w:rsidP="00583BC0">
      <w:pPr>
        <w:pStyle w:val="ListParagraph"/>
        <w:numPr>
          <w:ilvl w:val="0"/>
          <w:numId w:val="37"/>
        </w:numPr>
      </w:pPr>
      <w:r>
        <w:t>(</w:t>
      </w:r>
      <w:proofErr w:type="spellStart"/>
      <w:r>
        <w:t>MediaTek</w:t>
      </w:r>
      <w:proofErr w:type="spellEnd"/>
      <w:r>
        <w:t xml:space="preserve">) </w:t>
      </w:r>
      <w:r w:rsidRPr="00256E5F">
        <w:t xml:space="preserve">When </w:t>
      </w:r>
      <w:r w:rsidRPr="00521182">
        <w:rPr>
          <w:i/>
        </w:rPr>
        <w:t>SRS-</w:t>
      </w:r>
      <w:proofErr w:type="spellStart"/>
      <w:r w:rsidRPr="00521182">
        <w:rPr>
          <w:i/>
        </w:rPr>
        <w:t>SpatialRelationInfo</w:t>
      </w:r>
      <w:proofErr w:type="spellEnd"/>
      <w:r w:rsidRPr="00256E5F">
        <w:t xml:space="preserve"> not configured for SRS resources within a set, UE is not expected to transmit SRS with a fixed beam</w:t>
      </w:r>
    </w:p>
    <w:p w14:paraId="4A2467BB" w14:textId="216B5DF3" w:rsidR="00256E5F" w:rsidRDefault="00521182" w:rsidP="00583BC0">
      <w:pPr>
        <w:pStyle w:val="ListParagraph"/>
        <w:numPr>
          <w:ilvl w:val="0"/>
          <w:numId w:val="37"/>
        </w:numPr>
      </w:pPr>
      <w:r>
        <w:t xml:space="preserve">(Samsung) To support U3, </w:t>
      </w:r>
      <w:r w:rsidRPr="00521182">
        <w:rPr>
          <w:i/>
        </w:rPr>
        <w:t>SRS-</w:t>
      </w:r>
      <w:proofErr w:type="spellStart"/>
      <w:r w:rsidRPr="00521182">
        <w:rPr>
          <w:i/>
        </w:rPr>
        <w:t>SetUse</w:t>
      </w:r>
      <w:proofErr w:type="spellEnd"/>
      <w:r w:rsidRPr="00521182">
        <w:t xml:space="preserve"> = "</w:t>
      </w:r>
      <w:proofErr w:type="spellStart"/>
      <w:r w:rsidRPr="00521182">
        <w:t>BeamManagement</w:t>
      </w:r>
      <w:proofErr w:type="spellEnd"/>
      <w:r w:rsidRPr="00521182">
        <w:t xml:space="preserve">": 1 or subset of SRS resources in set configured with </w:t>
      </w:r>
      <w:r w:rsidRPr="00521182">
        <w:rPr>
          <w:i/>
        </w:rPr>
        <w:t>SRS-</w:t>
      </w:r>
      <w:proofErr w:type="spellStart"/>
      <w:r w:rsidRPr="00521182">
        <w:rPr>
          <w:i/>
        </w:rPr>
        <w:t>SpatialRelationInfo</w:t>
      </w:r>
      <w:proofErr w:type="spellEnd"/>
      <w:r>
        <w:t>. Alternatively, f</w:t>
      </w:r>
      <w:r w:rsidRPr="00521182">
        <w:t xml:space="preserve">or </w:t>
      </w:r>
      <w:r w:rsidRPr="000B3DE7">
        <w:rPr>
          <w:i/>
        </w:rPr>
        <w:t>SRS-</w:t>
      </w:r>
      <w:proofErr w:type="spellStart"/>
      <w:r w:rsidRPr="000B3DE7">
        <w:rPr>
          <w:i/>
        </w:rPr>
        <w:t>SetUse</w:t>
      </w:r>
      <w:proofErr w:type="spellEnd"/>
      <w:r w:rsidRPr="00521182">
        <w:t xml:space="preserve"> = "U3-BeamManagement": </w:t>
      </w:r>
      <w:r w:rsidRPr="000B3DE7">
        <w:rPr>
          <w:i/>
        </w:rPr>
        <w:t>SRS-</w:t>
      </w:r>
      <w:proofErr w:type="spellStart"/>
      <w:r w:rsidRPr="000B3DE7">
        <w:rPr>
          <w:i/>
        </w:rPr>
        <w:t>SpatialRelationInfo</w:t>
      </w:r>
      <w:proofErr w:type="spellEnd"/>
      <w:r w:rsidRPr="00521182">
        <w:t xml:space="preserve"> configured for whole SRS set</w:t>
      </w:r>
    </w:p>
    <w:p w14:paraId="79065578" w14:textId="2BD1FDEE" w:rsidR="00521182" w:rsidRDefault="00521182" w:rsidP="00583BC0">
      <w:pPr>
        <w:pStyle w:val="ListParagraph"/>
        <w:numPr>
          <w:ilvl w:val="0"/>
          <w:numId w:val="37"/>
        </w:numPr>
      </w:pPr>
      <w:r>
        <w:t xml:space="preserve">(vivo) </w:t>
      </w:r>
      <w:r w:rsidRPr="00521182">
        <w:t>Support indication between U2/U3 for SRS beam sweeping</w:t>
      </w:r>
    </w:p>
    <w:p w14:paraId="32075087" w14:textId="3421756D" w:rsidR="00521182" w:rsidRDefault="00521182" w:rsidP="00583BC0">
      <w:pPr>
        <w:pStyle w:val="ListParagraph"/>
        <w:numPr>
          <w:ilvl w:val="0"/>
          <w:numId w:val="37"/>
        </w:numPr>
      </w:pPr>
      <w:r>
        <w:t xml:space="preserve">(Samsung) For </w:t>
      </w:r>
      <w:r w:rsidR="00E63009">
        <w:t>resource set configure for “Beam management”</w:t>
      </w:r>
      <w:r>
        <w:t>, same bandwidth is configured for all SRS resources in the resource set</w:t>
      </w:r>
    </w:p>
    <w:p w14:paraId="4878DFF9" w14:textId="3DBFB7E3" w:rsidR="00521182" w:rsidRDefault="00521182" w:rsidP="00583BC0">
      <w:pPr>
        <w:pStyle w:val="ListParagraph"/>
        <w:numPr>
          <w:ilvl w:val="0"/>
          <w:numId w:val="37"/>
        </w:numPr>
      </w:pPr>
      <w:r>
        <w:lastRenderedPageBreak/>
        <w:t xml:space="preserve">(Interdigital) </w:t>
      </w:r>
      <w:r w:rsidRPr="00521182">
        <w:t>UE provides beam correspondence status, beam sweeping type (local</w:t>
      </w:r>
      <w:r>
        <w:t xml:space="preserve"> sweep</w:t>
      </w:r>
      <w:r w:rsidRPr="00521182">
        <w:t>/full</w:t>
      </w:r>
      <w:r>
        <w:t xml:space="preserve"> sweep</w:t>
      </w:r>
      <w:r w:rsidRPr="00521182">
        <w:t>), requested # of SRS resources</w:t>
      </w:r>
    </w:p>
    <w:p w14:paraId="60094FBD" w14:textId="77777777" w:rsidR="006800A1" w:rsidRPr="00D242D9" w:rsidRDefault="006800A1" w:rsidP="006800A1">
      <w:pPr>
        <w:pStyle w:val="ListParagraph"/>
        <w:numPr>
          <w:ilvl w:val="0"/>
          <w:numId w:val="37"/>
        </w:numPr>
        <w:rPr>
          <w:rFonts w:eastAsia="Microsoft YaHei"/>
          <w:i/>
          <w:szCs w:val="20"/>
        </w:rPr>
      </w:pPr>
      <w:r>
        <w:t xml:space="preserve">(ZTE) </w:t>
      </w:r>
      <w:r w:rsidRPr="00D242D9">
        <w:rPr>
          <w:rFonts w:eastAsia="Microsoft YaHei"/>
          <w:i/>
          <w:szCs w:val="20"/>
        </w:rPr>
        <w:t>To introduce the following value range for higher layer parameter SRS-</w:t>
      </w:r>
      <w:proofErr w:type="spellStart"/>
      <w:r w:rsidRPr="00D242D9">
        <w:rPr>
          <w:rFonts w:eastAsia="Microsoft YaHei"/>
          <w:i/>
          <w:szCs w:val="20"/>
        </w:rPr>
        <w:t>SpatialRelationI</w:t>
      </w:r>
      <w:r w:rsidRPr="00D242D9">
        <w:rPr>
          <w:rFonts w:eastAsia="Microsoft YaHei" w:hint="eastAsia"/>
          <w:i/>
          <w:szCs w:val="20"/>
        </w:rPr>
        <w:t>nfo</w:t>
      </w:r>
      <w:proofErr w:type="spellEnd"/>
    </w:p>
    <w:p w14:paraId="5DC81638" w14:textId="659A6493" w:rsidR="006800A1" w:rsidRDefault="006800A1" w:rsidP="00A67545">
      <w:pPr>
        <w:pStyle w:val="ListParagraph"/>
        <w:numPr>
          <w:ilvl w:val="2"/>
          <w:numId w:val="37"/>
        </w:numPr>
        <w:rPr>
          <w:i/>
          <w:szCs w:val="20"/>
        </w:rPr>
      </w:pPr>
      <w:r w:rsidRPr="00D242D9">
        <w:rPr>
          <w:i/>
          <w:szCs w:val="20"/>
        </w:rPr>
        <w:t>{SSB Index, NZP-CSI-RS-</w:t>
      </w:r>
      <w:proofErr w:type="spellStart"/>
      <w:r w:rsidRPr="00D242D9">
        <w:rPr>
          <w:i/>
          <w:szCs w:val="20"/>
        </w:rPr>
        <w:t>ResourceConfigId</w:t>
      </w:r>
      <w:proofErr w:type="spellEnd"/>
      <w:r w:rsidRPr="00D242D9">
        <w:rPr>
          <w:i/>
          <w:szCs w:val="20"/>
        </w:rPr>
        <w:t>, or SRS-</w:t>
      </w:r>
      <w:proofErr w:type="spellStart"/>
      <w:r w:rsidRPr="00D242D9">
        <w:rPr>
          <w:i/>
          <w:szCs w:val="20"/>
        </w:rPr>
        <w:t>ResourceConfigId</w:t>
      </w:r>
      <w:proofErr w:type="spellEnd"/>
      <w:r w:rsidRPr="00D242D9">
        <w:rPr>
          <w:i/>
          <w:szCs w:val="20"/>
        </w:rPr>
        <w:t>}</w:t>
      </w:r>
    </w:p>
    <w:p w14:paraId="4CE2132A" w14:textId="73CA5ECF" w:rsidR="00611D08" w:rsidRPr="00A67545" w:rsidRDefault="00611D08" w:rsidP="00611D08">
      <w:pPr>
        <w:pStyle w:val="ListParagraph"/>
        <w:numPr>
          <w:ilvl w:val="0"/>
          <w:numId w:val="37"/>
        </w:numPr>
        <w:rPr>
          <w:rFonts w:eastAsia="Microsoft YaHei"/>
          <w:i/>
          <w:szCs w:val="20"/>
        </w:rPr>
      </w:pPr>
      <w:r>
        <w:t>(LGE) Add a clarifying sentence in S6.2.1 that “</w:t>
      </w:r>
      <w:r w:rsidRPr="002B6AED">
        <w:rPr>
          <w:rFonts w:ascii="Times New Roman" w:eastAsia="Malgun Gothic"/>
          <w:color w:val="000000"/>
          <w:szCs w:val="20"/>
          <w:lang w:eastAsia="en-US"/>
        </w:rPr>
        <w:t>When the higher layer parameter</w:t>
      </w:r>
      <w:r w:rsidRPr="002B6AED">
        <w:rPr>
          <w:rFonts w:ascii="Times New Roman" w:eastAsia="Malgun Gothic"/>
          <w:i/>
          <w:color w:val="000000"/>
          <w:szCs w:val="20"/>
          <w:lang w:eastAsia="en-US"/>
        </w:rPr>
        <w:t xml:space="preserve"> SRS-</w:t>
      </w:r>
      <w:proofErr w:type="spellStart"/>
      <w:r w:rsidRPr="002B6AED">
        <w:rPr>
          <w:rFonts w:ascii="Times New Roman" w:eastAsia="Malgun Gothic"/>
          <w:i/>
          <w:color w:val="000000"/>
          <w:szCs w:val="20"/>
          <w:lang w:eastAsia="en-US"/>
        </w:rPr>
        <w:t>SetUse</w:t>
      </w:r>
      <w:proofErr w:type="spellEnd"/>
      <w:r w:rsidRPr="002B6AED">
        <w:rPr>
          <w:rFonts w:ascii="Times New Roman" w:eastAsia="Malgun Gothic"/>
          <w:i/>
          <w:color w:val="000000"/>
          <w:szCs w:val="20"/>
          <w:lang w:eastAsia="en-US"/>
        </w:rPr>
        <w:t xml:space="preserve"> </w:t>
      </w:r>
      <w:r w:rsidRPr="002B6AED">
        <w:rPr>
          <w:rFonts w:ascii="Times New Roman" w:eastAsia="Malgun Gothic"/>
          <w:color w:val="000000"/>
          <w:szCs w:val="20"/>
          <w:lang w:eastAsia="en-US"/>
        </w:rPr>
        <w:t xml:space="preserve">is set to </w:t>
      </w:r>
      <w:r w:rsidRPr="002B6AED">
        <w:rPr>
          <w:rFonts w:ascii="Times New Roman" w:eastAsia="Malgun Gothic"/>
          <w:color w:val="000000"/>
          <w:szCs w:val="20"/>
          <w:lang w:eastAsia="en-US"/>
        </w:rPr>
        <w:t>‘</w:t>
      </w:r>
      <w:proofErr w:type="spellStart"/>
      <w:r w:rsidRPr="002B6AED">
        <w:rPr>
          <w:rFonts w:ascii="Times New Roman" w:eastAsia="Malgun Gothic"/>
          <w:color w:val="000000"/>
          <w:szCs w:val="20"/>
          <w:lang w:eastAsia="en-US"/>
        </w:rPr>
        <w:t>BeamManagement</w:t>
      </w:r>
      <w:proofErr w:type="spellEnd"/>
      <w:r w:rsidRPr="002B6AED">
        <w:rPr>
          <w:rFonts w:ascii="Times New Roman" w:eastAsia="Malgun Gothic"/>
          <w:color w:val="000000"/>
          <w:szCs w:val="20"/>
          <w:lang w:eastAsia="en-US"/>
        </w:rPr>
        <w:t>’</w:t>
      </w:r>
      <w:r>
        <w:rPr>
          <w:rFonts w:ascii="Times New Roman" w:eastAsia="Malgun Gothic"/>
          <w:color w:val="000000"/>
          <w:szCs w:val="20"/>
          <w:lang w:eastAsia="en-US"/>
        </w:rPr>
        <w:t xml:space="preserve"> for a configured SRS resource set and when any of the SRS resources within the SRS resource set are not configured with higher layer parameter </w:t>
      </w:r>
      <w:r w:rsidRPr="00D22013">
        <w:rPr>
          <w:rFonts w:ascii="Times New Roman" w:eastAsia="Malgun Gothic"/>
          <w:i/>
          <w:color w:val="000000"/>
          <w:szCs w:val="20"/>
          <w:lang w:eastAsia="en-US"/>
        </w:rPr>
        <w:t>SRS-</w:t>
      </w:r>
      <w:proofErr w:type="spellStart"/>
      <w:r w:rsidRPr="00D22013">
        <w:rPr>
          <w:rFonts w:ascii="Times New Roman" w:eastAsia="Malgun Gothic"/>
          <w:i/>
          <w:color w:val="000000"/>
          <w:szCs w:val="20"/>
          <w:lang w:eastAsia="en-US"/>
        </w:rPr>
        <w:t>SpatialRelationInfo</w:t>
      </w:r>
      <w:proofErr w:type="spellEnd"/>
      <w:r>
        <w:rPr>
          <w:rFonts w:ascii="Times New Roman" w:eastAsia="Malgun Gothic"/>
          <w:color w:val="000000"/>
          <w:szCs w:val="20"/>
          <w:lang w:eastAsia="en-US"/>
        </w:rPr>
        <w:t>,</w:t>
      </w:r>
      <w:r w:rsidRPr="00E86B69">
        <w:rPr>
          <w:rFonts w:ascii="Times New Roman" w:eastAsia="Malgun Gothic"/>
          <w:color w:val="000000"/>
          <w:szCs w:val="20"/>
          <w:lang w:eastAsia="en-US"/>
        </w:rPr>
        <w:t xml:space="preserve"> </w:t>
      </w:r>
      <w:r>
        <w:rPr>
          <w:rFonts w:ascii="Times New Roman" w:eastAsia="Malgun Gothic"/>
          <w:color w:val="000000"/>
          <w:szCs w:val="20"/>
          <w:lang w:eastAsia="en-US"/>
        </w:rPr>
        <w:t>UE should apply independent spatial domain transmission filter for each configured SRS resource.</w:t>
      </w:r>
      <w:r>
        <w:rPr>
          <w:rFonts w:ascii="Times New Roman" w:eastAsia="Malgun Gothic"/>
          <w:color w:val="000000"/>
          <w:szCs w:val="20"/>
          <w:lang w:eastAsia="en-US"/>
        </w:rPr>
        <w:t>”</w:t>
      </w:r>
    </w:p>
    <w:p w14:paraId="2412ADCA" w14:textId="49EBE491" w:rsidR="00611D08" w:rsidRPr="000A48A8" w:rsidRDefault="00611D08" w:rsidP="00611D08">
      <w:pPr>
        <w:pStyle w:val="ListParagraph"/>
        <w:numPr>
          <w:ilvl w:val="0"/>
          <w:numId w:val="37"/>
        </w:numPr>
        <w:rPr>
          <w:rFonts w:eastAsia="Microsoft YaHei"/>
          <w:i/>
          <w:szCs w:val="20"/>
        </w:rPr>
      </w:pPr>
      <w:r>
        <w:t>(LGE) Add a clarifying sentence in S6.2.1 that “</w:t>
      </w:r>
      <w:r>
        <w:rPr>
          <w:rFonts w:ascii="Times New Roman" w:eastAsia="Malgun Gothic"/>
          <w:color w:val="000000"/>
          <w:szCs w:val="20"/>
          <w:lang w:eastAsia="en-US"/>
        </w:rPr>
        <w:t>UE should apply the same spatial domain transmission filter on different OFDM symbols for a SRS resource.</w:t>
      </w:r>
      <w:r>
        <w:rPr>
          <w:rFonts w:ascii="Times New Roman" w:eastAsia="Malgun Gothic"/>
          <w:color w:val="000000"/>
          <w:szCs w:val="20"/>
          <w:lang w:eastAsia="en-US"/>
        </w:rPr>
        <w:t>”</w:t>
      </w:r>
    </w:p>
    <w:p w14:paraId="7EFE437F" w14:textId="41FE06EF" w:rsidR="00521182" w:rsidRPr="00C93E71" w:rsidRDefault="00521182" w:rsidP="00521182">
      <w:pPr>
        <w:rPr>
          <w:highlight w:val="yellow"/>
        </w:rPr>
      </w:pPr>
      <w:r w:rsidRPr="00C93E71">
        <w:rPr>
          <w:highlight w:val="yellow"/>
        </w:rPr>
        <w:t>Proposal</w:t>
      </w:r>
    </w:p>
    <w:p w14:paraId="5C03ED28" w14:textId="09B6B3E9" w:rsidR="00CE17DE" w:rsidRPr="00CE17DE" w:rsidRDefault="00C93E71" w:rsidP="00CE17DE">
      <w:pPr>
        <w:pStyle w:val="ListParagraph"/>
        <w:numPr>
          <w:ilvl w:val="0"/>
          <w:numId w:val="39"/>
        </w:numPr>
        <w:rPr>
          <w:highlight w:val="yellow"/>
        </w:rPr>
      </w:pPr>
      <w:r w:rsidRPr="00C93E71">
        <w:rPr>
          <w:highlight w:val="yellow"/>
        </w:rPr>
        <w:t>Offline discussion targeting a WF on configuration of an SRS resour</w:t>
      </w:r>
      <w:r>
        <w:rPr>
          <w:highlight w:val="yellow"/>
        </w:rPr>
        <w:t>ce sets for the purposes of U2/</w:t>
      </w:r>
      <w:r w:rsidRPr="00C93E71">
        <w:rPr>
          <w:highlight w:val="yellow"/>
        </w:rPr>
        <w:t>U3 UL beam management procedures</w:t>
      </w:r>
    </w:p>
    <w:p w14:paraId="272464FD" w14:textId="2CF2B6B2" w:rsidR="003C40CC" w:rsidRDefault="003C40CC" w:rsidP="003C40CC">
      <w:pPr>
        <w:pStyle w:val="Heading1"/>
      </w:pPr>
      <w:r>
        <w:t>References</w:t>
      </w:r>
    </w:p>
    <w:p w14:paraId="36B40D32" w14:textId="437048D2" w:rsidR="003C40CC" w:rsidRDefault="003C40CC" w:rsidP="003C40CC">
      <w:pPr>
        <w:pStyle w:val="Reference"/>
      </w:pPr>
      <w:bookmarkStart w:id="3" w:name="_Ref504104744"/>
      <w:r>
        <w:t>R1-1721581, “RRC Parameters,” Ericsson, RAN1#91, December 2017.</w:t>
      </w:r>
      <w:bookmarkEnd w:id="3"/>
    </w:p>
    <w:p w14:paraId="45A670B0" w14:textId="1A76FBF7" w:rsidR="00ED212C" w:rsidRPr="003C40CC" w:rsidRDefault="00ED212C" w:rsidP="00ED212C">
      <w:pPr>
        <w:pStyle w:val="Reference"/>
      </w:pPr>
      <w:r>
        <w:t>R1-180005, “</w:t>
      </w:r>
      <w:r w:rsidRPr="00ED212C">
        <w:t>LS on RSRP and signal quality measurement report mapping</w:t>
      </w:r>
      <w:r>
        <w:t>,” RAN4, January 2018</w:t>
      </w:r>
    </w:p>
    <w:p w14:paraId="14FE8E8A" w14:textId="4182F58C" w:rsidR="003F4CCC" w:rsidRDefault="00924542" w:rsidP="003F4CCC">
      <w:pPr>
        <w:pStyle w:val="Heading1"/>
      </w:pPr>
      <w:r>
        <w:t xml:space="preserve">Appendix A: </w:t>
      </w:r>
      <w:r w:rsidR="003F4CCC">
        <w:t>List of Text Proposals</w:t>
      </w:r>
    </w:p>
    <w:p w14:paraId="6C4B3DBC" w14:textId="452BD86C" w:rsidR="0043710F" w:rsidRDefault="003F4CCC" w:rsidP="003F4CCC">
      <w:r>
        <w:t xml:space="preserve">In this section, a list of </w:t>
      </w:r>
      <w:proofErr w:type="spellStart"/>
      <w:r>
        <w:t>Tdocs</w:t>
      </w:r>
      <w:proofErr w:type="spellEnd"/>
      <w:r>
        <w:t xml:space="preserve"> containing text proposals is provided, where the TPs are grouped by spec number and section number.</w:t>
      </w:r>
      <w:r w:rsidR="00926205">
        <w:t xml:space="preserve"> This can serve as input on harmonizing text proposals as well as useful input to the spec editors of 38.213 and 38.214.</w:t>
      </w:r>
    </w:p>
    <w:tbl>
      <w:tblPr>
        <w:tblW w:w="9360" w:type="dxa"/>
        <w:tblInd w:w="-10" w:type="dxa"/>
        <w:tblLook w:val="04A0" w:firstRow="1" w:lastRow="0" w:firstColumn="1" w:lastColumn="0" w:noHBand="0" w:noVBand="1"/>
      </w:tblPr>
      <w:tblGrid>
        <w:gridCol w:w="1220"/>
        <w:gridCol w:w="1021"/>
        <w:gridCol w:w="2332"/>
        <w:gridCol w:w="2718"/>
        <w:gridCol w:w="983"/>
        <w:gridCol w:w="1086"/>
      </w:tblGrid>
      <w:tr w:rsidR="00973D1B" w:rsidRPr="002C579D" w14:paraId="0D0F7B0B" w14:textId="77777777" w:rsidTr="002C579D">
        <w:trPr>
          <w:trHeight w:val="216"/>
        </w:trPr>
        <w:tc>
          <w:tcPr>
            <w:tcW w:w="1220" w:type="dxa"/>
            <w:tcBorders>
              <w:top w:val="single" w:sz="8" w:space="0" w:color="auto"/>
              <w:left w:val="single" w:sz="8" w:space="0" w:color="auto"/>
              <w:bottom w:val="single" w:sz="8" w:space="0" w:color="auto"/>
              <w:right w:val="single" w:sz="4" w:space="0" w:color="auto"/>
            </w:tcBorders>
            <w:shd w:val="clear" w:color="000000" w:fill="00B0F0"/>
            <w:noWrap/>
            <w:hideMark/>
          </w:tcPr>
          <w:p w14:paraId="539ADE0D" w14:textId="77777777" w:rsidR="00973D1B" w:rsidRPr="002C579D" w:rsidRDefault="00973D1B" w:rsidP="00973D1B">
            <w:pPr>
              <w:overflowPunct/>
              <w:autoSpaceDE/>
              <w:autoSpaceDN/>
              <w:adjustRightInd/>
              <w:spacing w:after="0"/>
              <w:jc w:val="left"/>
              <w:textAlignment w:val="auto"/>
              <w:rPr>
                <w:rFonts w:asciiTheme="minorHAnsi" w:hAnsiTheme="minorHAnsi"/>
                <w:b/>
                <w:bCs/>
                <w:color w:val="000000"/>
                <w:sz w:val="16"/>
                <w:szCs w:val="16"/>
                <w:lang w:val="en-US" w:eastAsia="en-US"/>
              </w:rPr>
            </w:pPr>
            <w:proofErr w:type="spellStart"/>
            <w:r w:rsidRPr="002C579D">
              <w:rPr>
                <w:rFonts w:asciiTheme="minorHAnsi" w:hAnsiTheme="minorHAnsi"/>
                <w:b/>
                <w:bCs/>
                <w:color w:val="000000"/>
                <w:sz w:val="16"/>
                <w:szCs w:val="16"/>
                <w:lang w:val="en-US" w:eastAsia="en-US"/>
              </w:rPr>
              <w:t>Tdoc</w:t>
            </w:r>
            <w:proofErr w:type="spellEnd"/>
            <w:r w:rsidRPr="002C579D">
              <w:rPr>
                <w:rFonts w:asciiTheme="minorHAnsi" w:hAnsiTheme="minorHAnsi"/>
                <w:b/>
                <w:bCs/>
                <w:color w:val="000000"/>
                <w:sz w:val="16"/>
                <w:szCs w:val="16"/>
                <w:lang w:val="en-US" w:eastAsia="en-US"/>
              </w:rPr>
              <w:t xml:space="preserve"> #</w:t>
            </w:r>
          </w:p>
        </w:tc>
        <w:tc>
          <w:tcPr>
            <w:tcW w:w="1180" w:type="dxa"/>
            <w:tcBorders>
              <w:top w:val="single" w:sz="8" w:space="0" w:color="auto"/>
              <w:left w:val="nil"/>
              <w:bottom w:val="single" w:sz="8" w:space="0" w:color="auto"/>
              <w:right w:val="single" w:sz="4" w:space="0" w:color="auto"/>
            </w:tcBorders>
            <w:shd w:val="clear" w:color="000000" w:fill="00B0F0"/>
            <w:hideMark/>
          </w:tcPr>
          <w:p w14:paraId="77458D88" w14:textId="77777777" w:rsidR="00973D1B" w:rsidRPr="002C579D" w:rsidRDefault="00973D1B" w:rsidP="00973D1B">
            <w:pPr>
              <w:overflowPunct/>
              <w:autoSpaceDE/>
              <w:autoSpaceDN/>
              <w:adjustRightInd/>
              <w:spacing w:after="0"/>
              <w:jc w:val="left"/>
              <w:textAlignment w:val="auto"/>
              <w:rPr>
                <w:rFonts w:asciiTheme="minorHAnsi" w:hAnsiTheme="minorHAnsi"/>
                <w:b/>
                <w:bCs/>
                <w:color w:val="000000"/>
                <w:sz w:val="16"/>
                <w:szCs w:val="16"/>
                <w:lang w:val="en-US" w:eastAsia="en-US"/>
              </w:rPr>
            </w:pPr>
            <w:r w:rsidRPr="002C579D">
              <w:rPr>
                <w:rFonts w:asciiTheme="minorHAnsi" w:hAnsiTheme="minorHAnsi"/>
                <w:b/>
                <w:bCs/>
                <w:color w:val="000000"/>
                <w:sz w:val="16"/>
                <w:szCs w:val="16"/>
                <w:lang w:val="en-US" w:eastAsia="en-US"/>
              </w:rPr>
              <w:t>Company</w:t>
            </w:r>
          </w:p>
        </w:tc>
        <w:tc>
          <w:tcPr>
            <w:tcW w:w="4320" w:type="dxa"/>
            <w:tcBorders>
              <w:top w:val="single" w:sz="8" w:space="0" w:color="auto"/>
              <w:left w:val="nil"/>
              <w:bottom w:val="single" w:sz="8" w:space="0" w:color="auto"/>
              <w:right w:val="single" w:sz="4" w:space="0" w:color="auto"/>
            </w:tcBorders>
            <w:shd w:val="clear" w:color="000000" w:fill="00B0F0"/>
            <w:hideMark/>
          </w:tcPr>
          <w:p w14:paraId="4253A16D" w14:textId="77777777" w:rsidR="00973D1B" w:rsidRPr="002C579D" w:rsidRDefault="00973D1B" w:rsidP="00973D1B">
            <w:pPr>
              <w:overflowPunct/>
              <w:autoSpaceDE/>
              <w:autoSpaceDN/>
              <w:adjustRightInd/>
              <w:spacing w:after="0"/>
              <w:jc w:val="left"/>
              <w:textAlignment w:val="auto"/>
              <w:rPr>
                <w:rFonts w:asciiTheme="minorHAnsi" w:hAnsiTheme="minorHAnsi"/>
                <w:b/>
                <w:bCs/>
                <w:color w:val="000000"/>
                <w:sz w:val="16"/>
                <w:szCs w:val="16"/>
                <w:lang w:val="en-US" w:eastAsia="en-US"/>
              </w:rPr>
            </w:pPr>
            <w:r w:rsidRPr="002C579D">
              <w:rPr>
                <w:rFonts w:asciiTheme="minorHAnsi" w:hAnsiTheme="minorHAnsi"/>
                <w:b/>
                <w:bCs/>
                <w:color w:val="000000"/>
                <w:sz w:val="16"/>
                <w:szCs w:val="16"/>
                <w:lang w:val="en-US" w:eastAsia="en-US"/>
              </w:rPr>
              <w:t>High-level categorization</w:t>
            </w:r>
          </w:p>
        </w:tc>
        <w:tc>
          <w:tcPr>
            <w:tcW w:w="4380" w:type="dxa"/>
            <w:tcBorders>
              <w:top w:val="single" w:sz="8" w:space="0" w:color="auto"/>
              <w:left w:val="nil"/>
              <w:bottom w:val="single" w:sz="8" w:space="0" w:color="auto"/>
              <w:right w:val="single" w:sz="4" w:space="0" w:color="auto"/>
            </w:tcBorders>
            <w:shd w:val="clear" w:color="000000" w:fill="00B0F0"/>
            <w:hideMark/>
          </w:tcPr>
          <w:p w14:paraId="1D64B8BA" w14:textId="77777777" w:rsidR="00973D1B" w:rsidRPr="002C579D" w:rsidRDefault="00973D1B" w:rsidP="00973D1B">
            <w:pPr>
              <w:overflowPunct/>
              <w:autoSpaceDE/>
              <w:autoSpaceDN/>
              <w:adjustRightInd/>
              <w:spacing w:after="0"/>
              <w:jc w:val="left"/>
              <w:textAlignment w:val="auto"/>
              <w:rPr>
                <w:rFonts w:asciiTheme="minorHAnsi" w:hAnsiTheme="minorHAnsi"/>
                <w:b/>
                <w:bCs/>
                <w:color w:val="000000"/>
                <w:sz w:val="16"/>
                <w:szCs w:val="16"/>
                <w:lang w:val="en-US" w:eastAsia="en-US"/>
              </w:rPr>
            </w:pPr>
            <w:r w:rsidRPr="002C579D">
              <w:rPr>
                <w:rFonts w:asciiTheme="minorHAnsi" w:hAnsiTheme="minorHAnsi"/>
                <w:b/>
                <w:bCs/>
                <w:color w:val="000000"/>
                <w:sz w:val="16"/>
                <w:szCs w:val="16"/>
                <w:lang w:val="en-US" w:eastAsia="en-US"/>
              </w:rPr>
              <w:t>Issue</w:t>
            </w:r>
          </w:p>
        </w:tc>
        <w:tc>
          <w:tcPr>
            <w:tcW w:w="1360" w:type="dxa"/>
            <w:tcBorders>
              <w:top w:val="single" w:sz="8" w:space="0" w:color="auto"/>
              <w:left w:val="nil"/>
              <w:bottom w:val="single" w:sz="8" w:space="0" w:color="auto"/>
              <w:right w:val="single" w:sz="4" w:space="0" w:color="auto"/>
            </w:tcBorders>
            <w:shd w:val="clear" w:color="000000" w:fill="00B0F0"/>
            <w:hideMark/>
          </w:tcPr>
          <w:p w14:paraId="3C0F8127" w14:textId="77777777" w:rsidR="00973D1B" w:rsidRPr="002C579D" w:rsidRDefault="00973D1B" w:rsidP="00973D1B">
            <w:pPr>
              <w:overflowPunct/>
              <w:autoSpaceDE/>
              <w:autoSpaceDN/>
              <w:adjustRightInd/>
              <w:spacing w:after="0"/>
              <w:jc w:val="center"/>
              <w:textAlignment w:val="auto"/>
              <w:rPr>
                <w:rFonts w:asciiTheme="minorHAnsi" w:hAnsiTheme="minorHAnsi"/>
                <w:b/>
                <w:bCs/>
                <w:color w:val="000000"/>
                <w:sz w:val="16"/>
                <w:szCs w:val="16"/>
                <w:lang w:val="en-US" w:eastAsia="en-US"/>
              </w:rPr>
            </w:pPr>
            <w:r w:rsidRPr="002C579D">
              <w:rPr>
                <w:rFonts w:asciiTheme="minorHAnsi" w:hAnsiTheme="minorHAnsi"/>
                <w:b/>
                <w:bCs/>
                <w:color w:val="000000"/>
                <w:sz w:val="16"/>
                <w:szCs w:val="16"/>
                <w:lang w:val="en-US" w:eastAsia="en-US"/>
              </w:rPr>
              <w:t>Spec Number</w:t>
            </w:r>
          </w:p>
        </w:tc>
        <w:tc>
          <w:tcPr>
            <w:tcW w:w="1360" w:type="dxa"/>
            <w:tcBorders>
              <w:top w:val="single" w:sz="8" w:space="0" w:color="auto"/>
              <w:left w:val="nil"/>
              <w:bottom w:val="single" w:sz="8" w:space="0" w:color="auto"/>
              <w:right w:val="single" w:sz="8" w:space="0" w:color="auto"/>
            </w:tcBorders>
            <w:shd w:val="clear" w:color="000000" w:fill="00B0F0"/>
            <w:hideMark/>
          </w:tcPr>
          <w:p w14:paraId="39DA76E1" w14:textId="77777777" w:rsidR="00973D1B" w:rsidRPr="002C579D" w:rsidRDefault="00973D1B" w:rsidP="00973D1B">
            <w:pPr>
              <w:overflowPunct/>
              <w:autoSpaceDE/>
              <w:autoSpaceDN/>
              <w:adjustRightInd/>
              <w:spacing w:after="0"/>
              <w:jc w:val="center"/>
              <w:textAlignment w:val="auto"/>
              <w:rPr>
                <w:rFonts w:asciiTheme="minorHAnsi" w:hAnsiTheme="minorHAnsi"/>
                <w:b/>
                <w:bCs/>
                <w:color w:val="000000"/>
                <w:sz w:val="16"/>
                <w:szCs w:val="16"/>
                <w:lang w:val="en-US" w:eastAsia="en-US"/>
              </w:rPr>
            </w:pPr>
            <w:r w:rsidRPr="002C579D">
              <w:rPr>
                <w:rFonts w:asciiTheme="minorHAnsi" w:hAnsiTheme="minorHAnsi"/>
                <w:b/>
                <w:bCs/>
                <w:color w:val="000000"/>
                <w:sz w:val="16"/>
                <w:szCs w:val="16"/>
                <w:lang w:val="en-US" w:eastAsia="en-US"/>
              </w:rPr>
              <w:t>Spec Section Number(s)</w:t>
            </w:r>
          </w:p>
        </w:tc>
      </w:tr>
      <w:tr w:rsidR="00973D1B" w:rsidRPr="002C579D" w14:paraId="0A0159EF" w14:textId="77777777" w:rsidTr="002C579D">
        <w:trPr>
          <w:trHeight w:val="216"/>
        </w:trPr>
        <w:tc>
          <w:tcPr>
            <w:tcW w:w="1220" w:type="dxa"/>
            <w:tcBorders>
              <w:top w:val="nil"/>
              <w:left w:val="single" w:sz="8" w:space="0" w:color="auto"/>
              <w:bottom w:val="single" w:sz="4" w:space="0" w:color="auto"/>
              <w:right w:val="single" w:sz="4" w:space="0" w:color="auto"/>
            </w:tcBorders>
            <w:shd w:val="clear" w:color="auto" w:fill="auto"/>
            <w:noWrap/>
            <w:vAlign w:val="center"/>
            <w:hideMark/>
          </w:tcPr>
          <w:p w14:paraId="25F01EA7" w14:textId="44BCA001"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R1-1800660</w:t>
            </w:r>
          </w:p>
        </w:tc>
        <w:tc>
          <w:tcPr>
            <w:tcW w:w="1180" w:type="dxa"/>
            <w:tcBorders>
              <w:top w:val="nil"/>
              <w:left w:val="nil"/>
              <w:bottom w:val="single" w:sz="4" w:space="0" w:color="auto"/>
              <w:right w:val="single" w:sz="4" w:space="0" w:color="auto"/>
            </w:tcBorders>
            <w:shd w:val="clear" w:color="auto" w:fill="auto"/>
            <w:hideMark/>
          </w:tcPr>
          <w:p w14:paraId="07D4B55A"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Docomo</w:t>
            </w:r>
          </w:p>
        </w:tc>
        <w:tc>
          <w:tcPr>
            <w:tcW w:w="4320" w:type="dxa"/>
            <w:tcBorders>
              <w:top w:val="nil"/>
              <w:left w:val="nil"/>
              <w:bottom w:val="single" w:sz="4" w:space="0" w:color="auto"/>
              <w:right w:val="single" w:sz="4" w:space="0" w:color="auto"/>
            </w:tcBorders>
            <w:shd w:val="clear" w:color="auto" w:fill="auto"/>
            <w:hideMark/>
          </w:tcPr>
          <w:p w14:paraId="063DF885"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MAC-CE timing</w:t>
            </w:r>
          </w:p>
        </w:tc>
        <w:tc>
          <w:tcPr>
            <w:tcW w:w="4380" w:type="dxa"/>
            <w:tcBorders>
              <w:top w:val="nil"/>
              <w:left w:val="nil"/>
              <w:bottom w:val="single" w:sz="4" w:space="0" w:color="auto"/>
              <w:right w:val="single" w:sz="4" w:space="0" w:color="auto"/>
            </w:tcBorders>
            <w:shd w:val="clear" w:color="auto" w:fill="auto"/>
            <w:hideMark/>
          </w:tcPr>
          <w:p w14:paraId="1273A9FC"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Activation/deactivation timing for PUCCH undefined</w:t>
            </w:r>
          </w:p>
        </w:tc>
        <w:tc>
          <w:tcPr>
            <w:tcW w:w="1360" w:type="dxa"/>
            <w:tcBorders>
              <w:top w:val="nil"/>
              <w:left w:val="nil"/>
              <w:bottom w:val="single" w:sz="4" w:space="0" w:color="auto"/>
              <w:right w:val="single" w:sz="4" w:space="0" w:color="auto"/>
            </w:tcBorders>
            <w:shd w:val="clear" w:color="auto" w:fill="auto"/>
            <w:hideMark/>
          </w:tcPr>
          <w:p w14:paraId="7A4CEDB4"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38.213</w:t>
            </w:r>
          </w:p>
        </w:tc>
        <w:tc>
          <w:tcPr>
            <w:tcW w:w="1360" w:type="dxa"/>
            <w:tcBorders>
              <w:top w:val="nil"/>
              <w:left w:val="nil"/>
              <w:bottom w:val="single" w:sz="4" w:space="0" w:color="auto"/>
              <w:right w:val="single" w:sz="8" w:space="0" w:color="auto"/>
            </w:tcBorders>
            <w:shd w:val="clear" w:color="auto" w:fill="auto"/>
            <w:hideMark/>
          </w:tcPr>
          <w:p w14:paraId="74480554"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9.4</w:t>
            </w:r>
          </w:p>
        </w:tc>
      </w:tr>
      <w:tr w:rsidR="00973D1B" w:rsidRPr="002C579D" w14:paraId="076DECBF"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center"/>
            <w:hideMark/>
          </w:tcPr>
          <w:p w14:paraId="70E3E762" w14:textId="7281523C"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R1-1800100</w:t>
            </w:r>
          </w:p>
        </w:tc>
        <w:tc>
          <w:tcPr>
            <w:tcW w:w="1180" w:type="dxa"/>
            <w:tcBorders>
              <w:top w:val="nil"/>
              <w:left w:val="nil"/>
              <w:bottom w:val="single" w:sz="4" w:space="0" w:color="auto"/>
              <w:right w:val="single" w:sz="4" w:space="0" w:color="auto"/>
            </w:tcBorders>
            <w:shd w:val="clear" w:color="000000" w:fill="D9D9D9"/>
            <w:hideMark/>
          </w:tcPr>
          <w:p w14:paraId="72309854"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proofErr w:type="spellStart"/>
            <w:r w:rsidRPr="002C579D">
              <w:rPr>
                <w:rFonts w:asciiTheme="minorHAnsi" w:hAnsiTheme="minorHAnsi"/>
                <w:color w:val="000000"/>
                <w:sz w:val="16"/>
                <w:szCs w:val="16"/>
                <w:lang w:val="en-US" w:eastAsia="en-US"/>
              </w:rPr>
              <w:t>Huwaei</w:t>
            </w:r>
            <w:proofErr w:type="spellEnd"/>
          </w:p>
        </w:tc>
        <w:tc>
          <w:tcPr>
            <w:tcW w:w="4320" w:type="dxa"/>
            <w:tcBorders>
              <w:top w:val="nil"/>
              <w:left w:val="nil"/>
              <w:bottom w:val="single" w:sz="4" w:space="0" w:color="auto"/>
              <w:right w:val="single" w:sz="4" w:space="0" w:color="auto"/>
            </w:tcBorders>
            <w:shd w:val="clear" w:color="000000" w:fill="D9D9D9"/>
            <w:hideMark/>
          </w:tcPr>
          <w:p w14:paraId="4D50C6ED"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DL beam indication</w:t>
            </w:r>
          </w:p>
        </w:tc>
        <w:tc>
          <w:tcPr>
            <w:tcW w:w="4380" w:type="dxa"/>
            <w:tcBorders>
              <w:top w:val="nil"/>
              <w:left w:val="nil"/>
              <w:bottom w:val="single" w:sz="4" w:space="0" w:color="auto"/>
              <w:right w:val="single" w:sz="4" w:space="0" w:color="auto"/>
            </w:tcBorders>
            <w:shd w:val="clear" w:color="000000" w:fill="D9D9D9"/>
            <w:hideMark/>
          </w:tcPr>
          <w:p w14:paraId="2EEC480B"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Agreement #2 not captured</w:t>
            </w:r>
          </w:p>
        </w:tc>
        <w:tc>
          <w:tcPr>
            <w:tcW w:w="1360" w:type="dxa"/>
            <w:tcBorders>
              <w:top w:val="nil"/>
              <w:left w:val="nil"/>
              <w:bottom w:val="single" w:sz="4" w:space="0" w:color="auto"/>
              <w:right w:val="single" w:sz="4" w:space="0" w:color="auto"/>
            </w:tcBorders>
            <w:shd w:val="clear" w:color="000000" w:fill="D9D9D9"/>
            <w:hideMark/>
          </w:tcPr>
          <w:p w14:paraId="39948E96"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38.213</w:t>
            </w:r>
          </w:p>
        </w:tc>
        <w:tc>
          <w:tcPr>
            <w:tcW w:w="1360" w:type="dxa"/>
            <w:tcBorders>
              <w:top w:val="nil"/>
              <w:left w:val="nil"/>
              <w:bottom w:val="single" w:sz="4" w:space="0" w:color="auto"/>
              <w:right w:val="single" w:sz="8" w:space="0" w:color="auto"/>
            </w:tcBorders>
            <w:shd w:val="clear" w:color="000000" w:fill="D9D9D9"/>
            <w:hideMark/>
          </w:tcPr>
          <w:p w14:paraId="132EDA00"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10.1</w:t>
            </w:r>
          </w:p>
        </w:tc>
      </w:tr>
      <w:tr w:rsidR="00973D1B" w:rsidRPr="002C579D" w14:paraId="17B52BF5"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center"/>
            <w:hideMark/>
          </w:tcPr>
          <w:p w14:paraId="1F201E73" w14:textId="5251ED3A"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R1-1800401</w:t>
            </w:r>
          </w:p>
        </w:tc>
        <w:tc>
          <w:tcPr>
            <w:tcW w:w="1180" w:type="dxa"/>
            <w:tcBorders>
              <w:top w:val="nil"/>
              <w:left w:val="nil"/>
              <w:bottom w:val="single" w:sz="4" w:space="0" w:color="auto"/>
              <w:right w:val="single" w:sz="4" w:space="0" w:color="auto"/>
            </w:tcBorders>
            <w:shd w:val="clear" w:color="000000" w:fill="D9D9D9"/>
            <w:hideMark/>
          </w:tcPr>
          <w:p w14:paraId="2E3CEB0F"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Lenovo</w:t>
            </w:r>
          </w:p>
        </w:tc>
        <w:tc>
          <w:tcPr>
            <w:tcW w:w="4320" w:type="dxa"/>
            <w:tcBorders>
              <w:top w:val="nil"/>
              <w:left w:val="nil"/>
              <w:bottom w:val="single" w:sz="4" w:space="0" w:color="auto"/>
              <w:right w:val="single" w:sz="4" w:space="0" w:color="auto"/>
            </w:tcBorders>
            <w:shd w:val="clear" w:color="000000" w:fill="D9D9D9"/>
            <w:hideMark/>
          </w:tcPr>
          <w:p w14:paraId="72126AA6"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DL beam indication</w:t>
            </w:r>
          </w:p>
        </w:tc>
        <w:tc>
          <w:tcPr>
            <w:tcW w:w="4380" w:type="dxa"/>
            <w:tcBorders>
              <w:top w:val="nil"/>
              <w:left w:val="nil"/>
              <w:bottom w:val="single" w:sz="4" w:space="0" w:color="auto"/>
              <w:right w:val="single" w:sz="4" w:space="0" w:color="auto"/>
            </w:tcBorders>
            <w:shd w:val="clear" w:color="000000" w:fill="D9D9D9"/>
            <w:hideMark/>
          </w:tcPr>
          <w:p w14:paraId="47925818"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No TCI in fallback DCI (Format 1_0)</w:t>
            </w:r>
          </w:p>
        </w:tc>
        <w:tc>
          <w:tcPr>
            <w:tcW w:w="1360" w:type="dxa"/>
            <w:tcBorders>
              <w:top w:val="nil"/>
              <w:left w:val="nil"/>
              <w:bottom w:val="single" w:sz="4" w:space="0" w:color="auto"/>
              <w:right w:val="single" w:sz="4" w:space="0" w:color="auto"/>
            </w:tcBorders>
            <w:shd w:val="clear" w:color="000000" w:fill="D9D9D9"/>
            <w:hideMark/>
          </w:tcPr>
          <w:p w14:paraId="544A58E0"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38.213</w:t>
            </w:r>
          </w:p>
        </w:tc>
        <w:tc>
          <w:tcPr>
            <w:tcW w:w="1360" w:type="dxa"/>
            <w:tcBorders>
              <w:top w:val="nil"/>
              <w:left w:val="nil"/>
              <w:bottom w:val="single" w:sz="4" w:space="0" w:color="auto"/>
              <w:right w:val="single" w:sz="8" w:space="0" w:color="auto"/>
            </w:tcBorders>
            <w:shd w:val="clear" w:color="000000" w:fill="D9D9D9"/>
            <w:hideMark/>
          </w:tcPr>
          <w:p w14:paraId="43406024"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10.1</w:t>
            </w:r>
          </w:p>
        </w:tc>
      </w:tr>
      <w:tr w:rsidR="00973D1B" w:rsidRPr="002C579D" w14:paraId="4D7DC44D"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center"/>
            <w:hideMark/>
          </w:tcPr>
          <w:p w14:paraId="1C64188B" w14:textId="6ED56E46"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R1-1800362</w:t>
            </w:r>
          </w:p>
        </w:tc>
        <w:tc>
          <w:tcPr>
            <w:tcW w:w="1180" w:type="dxa"/>
            <w:tcBorders>
              <w:top w:val="nil"/>
              <w:left w:val="nil"/>
              <w:bottom w:val="single" w:sz="4" w:space="0" w:color="auto"/>
              <w:right w:val="single" w:sz="4" w:space="0" w:color="auto"/>
            </w:tcBorders>
            <w:shd w:val="clear" w:color="000000" w:fill="D9D9D9"/>
            <w:hideMark/>
          </w:tcPr>
          <w:p w14:paraId="470E4B5C"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LG</w:t>
            </w:r>
          </w:p>
        </w:tc>
        <w:tc>
          <w:tcPr>
            <w:tcW w:w="4320" w:type="dxa"/>
            <w:tcBorders>
              <w:top w:val="nil"/>
              <w:left w:val="nil"/>
              <w:bottom w:val="single" w:sz="4" w:space="0" w:color="auto"/>
              <w:right w:val="single" w:sz="4" w:space="0" w:color="auto"/>
            </w:tcBorders>
            <w:shd w:val="clear" w:color="000000" w:fill="D9D9D9"/>
            <w:hideMark/>
          </w:tcPr>
          <w:p w14:paraId="0A6DF17A"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DL beam indication</w:t>
            </w:r>
          </w:p>
        </w:tc>
        <w:tc>
          <w:tcPr>
            <w:tcW w:w="4380" w:type="dxa"/>
            <w:tcBorders>
              <w:top w:val="nil"/>
              <w:left w:val="nil"/>
              <w:bottom w:val="single" w:sz="4" w:space="0" w:color="auto"/>
              <w:right w:val="single" w:sz="4" w:space="0" w:color="auto"/>
            </w:tcBorders>
            <w:shd w:val="clear" w:color="000000" w:fill="D9D9D9"/>
            <w:hideMark/>
          </w:tcPr>
          <w:p w14:paraId="36D57BC2"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Agreement #2 not captured</w:t>
            </w:r>
          </w:p>
        </w:tc>
        <w:tc>
          <w:tcPr>
            <w:tcW w:w="1360" w:type="dxa"/>
            <w:tcBorders>
              <w:top w:val="nil"/>
              <w:left w:val="nil"/>
              <w:bottom w:val="single" w:sz="4" w:space="0" w:color="auto"/>
              <w:right w:val="single" w:sz="4" w:space="0" w:color="auto"/>
            </w:tcBorders>
            <w:shd w:val="clear" w:color="000000" w:fill="D9D9D9"/>
            <w:hideMark/>
          </w:tcPr>
          <w:p w14:paraId="36F9A249"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38.213</w:t>
            </w:r>
          </w:p>
        </w:tc>
        <w:tc>
          <w:tcPr>
            <w:tcW w:w="1360" w:type="dxa"/>
            <w:tcBorders>
              <w:top w:val="nil"/>
              <w:left w:val="nil"/>
              <w:bottom w:val="single" w:sz="4" w:space="0" w:color="auto"/>
              <w:right w:val="single" w:sz="8" w:space="0" w:color="auto"/>
            </w:tcBorders>
            <w:shd w:val="clear" w:color="000000" w:fill="D9D9D9"/>
            <w:hideMark/>
          </w:tcPr>
          <w:p w14:paraId="21D39813"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10.1</w:t>
            </w:r>
          </w:p>
        </w:tc>
      </w:tr>
      <w:tr w:rsidR="00973D1B" w:rsidRPr="002C579D" w14:paraId="2002F1C4"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center"/>
            <w:hideMark/>
          </w:tcPr>
          <w:p w14:paraId="6CE0AF09" w14:textId="58325B63"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R1-1800185</w:t>
            </w:r>
          </w:p>
        </w:tc>
        <w:tc>
          <w:tcPr>
            <w:tcW w:w="1180" w:type="dxa"/>
            <w:tcBorders>
              <w:top w:val="nil"/>
              <w:left w:val="nil"/>
              <w:bottom w:val="single" w:sz="4" w:space="0" w:color="auto"/>
              <w:right w:val="single" w:sz="4" w:space="0" w:color="auto"/>
            </w:tcBorders>
            <w:shd w:val="clear" w:color="000000" w:fill="D9D9D9"/>
            <w:hideMark/>
          </w:tcPr>
          <w:p w14:paraId="02A7F026"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vivo</w:t>
            </w:r>
          </w:p>
        </w:tc>
        <w:tc>
          <w:tcPr>
            <w:tcW w:w="4320" w:type="dxa"/>
            <w:tcBorders>
              <w:top w:val="nil"/>
              <w:left w:val="nil"/>
              <w:bottom w:val="single" w:sz="4" w:space="0" w:color="auto"/>
              <w:right w:val="single" w:sz="4" w:space="0" w:color="auto"/>
            </w:tcBorders>
            <w:shd w:val="clear" w:color="000000" w:fill="D9D9D9"/>
            <w:hideMark/>
          </w:tcPr>
          <w:p w14:paraId="7FB4894A"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DL beam indication</w:t>
            </w:r>
          </w:p>
        </w:tc>
        <w:tc>
          <w:tcPr>
            <w:tcW w:w="4380" w:type="dxa"/>
            <w:tcBorders>
              <w:top w:val="nil"/>
              <w:left w:val="nil"/>
              <w:bottom w:val="single" w:sz="4" w:space="0" w:color="auto"/>
              <w:right w:val="single" w:sz="4" w:space="0" w:color="auto"/>
            </w:tcBorders>
            <w:shd w:val="clear" w:color="000000" w:fill="D9D9D9"/>
            <w:hideMark/>
          </w:tcPr>
          <w:p w14:paraId="4C03D186"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Agreement #7 not captured</w:t>
            </w:r>
          </w:p>
        </w:tc>
        <w:tc>
          <w:tcPr>
            <w:tcW w:w="1360" w:type="dxa"/>
            <w:tcBorders>
              <w:top w:val="nil"/>
              <w:left w:val="nil"/>
              <w:bottom w:val="single" w:sz="4" w:space="0" w:color="auto"/>
              <w:right w:val="single" w:sz="4" w:space="0" w:color="auto"/>
            </w:tcBorders>
            <w:shd w:val="clear" w:color="000000" w:fill="D9D9D9"/>
            <w:hideMark/>
          </w:tcPr>
          <w:p w14:paraId="4989D2FA"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38.213</w:t>
            </w:r>
          </w:p>
        </w:tc>
        <w:tc>
          <w:tcPr>
            <w:tcW w:w="1360" w:type="dxa"/>
            <w:tcBorders>
              <w:top w:val="nil"/>
              <w:left w:val="nil"/>
              <w:bottom w:val="single" w:sz="4" w:space="0" w:color="auto"/>
              <w:right w:val="single" w:sz="8" w:space="0" w:color="auto"/>
            </w:tcBorders>
            <w:shd w:val="clear" w:color="000000" w:fill="D9D9D9"/>
            <w:hideMark/>
          </w:tcPr>
          <w:p w14:paraId="476F9DBB"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10.1</w:t>
            </w:r>
          </w:p>
        </w:tc>
      </w:tr>
      <w:tr w:rsidR="00973D1B" w:rsidRPr="002C579D" w14:paraId="16A1D850" w14:textId="77777777" w:rsidTr="002C579D">
        <w:trPr>
          <w:trHeight w:val="216"/>
        </w:trPr>
        <w:tc>
          <w:tcPr>
            <w:tcW w:w="1220" w:type="dxa"/>
            <w:tcBorders>
              <w:top w:val="nil"/>
              <w:left w:val="single" w:sz="8" w:space="0" w:color="auto"/>
              <w:bottom w:val="single" w:sz="4" w:space="0" w:color="auto"/>
              <w:right w:val="single" w:sz="4" w:space="0" w:color="auto"/>
            </w:tcBorders>
            <w:shd w:val="clear" w:color="auto" w:fill="auto"/>
            <w:noWrap/>
            <w:vAlign w:val="center"/>
            <w:hideMark/>
          </w:tcPr>
          <w:p w14:paraId="2C01B615" w14:textId="502E1A2D"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R1-1800660</w:t>
            </w:r>
          </w:p>
        </w:tc>
        <w:tc>
          <w:tcPr>
            <w:tcW w:w="1180" w:type="dxa"/>
            <w:tcBorders>
              <w:top w:val="nil"/>
              <w:left w:val="nil"/>
              <w:bottom w:val="single" w:sz="4" w:space="0" w:color="auto"/>
              <w:right w:val="single" w:sz="4" w:space="0" w:color="auto"/>
            </w:tcBorders>
            <w:shd w:val="clear" w:color="auto" w:fill="auto"/>
            <w:hideMark/>
          </w:tcPr>
          <w:p w14:paraId="58B32137"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Docomo</w:t>
            </w:r>
          </w:p>
        </w:tc>
        <w:tc>
          <w:tcPr>
            <w:tcW w:w="4320" w:type="dxa"/>
            <w:tcBorders>
              <w:top w:val="nil"/>
              <w:left w:val="nil"/>
              <w:bottom w:val="single" w:sz="4" w:space="0" w:color="auto"/>
              <w:right w:val="single" w:sz="4" w:space="0" w:color="auto"/>
            </w:tcBorders>
            <w:shd w:val="clear" w:color="auto" w:fill="auto"/>
            <w:hideMark/>
          </w:tcPr>
          <w:p w14:paraId="6B0E0FCC"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MAC-CE timing</w:t>
            </w:r>
          </w:p>
        </w:tc>
        <w:tc>
          <w:tcPr>
            <w:tcW w:w="4380" w:type="dxa"/>
            <w:tcBorders>
              <w:top w:val="nil"/>
              <w:left w:val="nil"/>
              <w:bottom w:val="single" w:sz="4" w:space="0" w:color="auto"/>
              <w:right w:val="single" w:sz="4" w:space="0" w:color="auto"/>
            </w:tcBorders>
            <w:shd w:val="clear" w:color="auto" w:fill="auto"/>
            <w:hideMark/>
          </w:tcPr>
          <w:p w14:paraId="1580F6A1"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Activation/deactivation timing for PDCCH undefined</w:t>
            </w:r>
          </w:p>
        </w:tc>
        <w:tc>
          <w:tcPr>
            <w:tcW w:w="1360" w:type="dxa"/>
            <w:tcBorders>
              <w:top w:val="nil"/>
              <w:left w:val="nil"/>
              <w:bottom w:val="single" w:sz="4" w:space="0" w:color="auto"/>
              <w:right w:val="single" w:sz="4" w:space="0" w:color="auto"/>
            </w:tcBorders>
            <w:shd w:val="clear" w:color="auto" w:fill="auto"/>
            <w:hideMark/>
          </w:tcPr>
          <w:p w14:paraId="0F823929"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38.213</w:t>
            </w:r>
          </w:p>
        </w:tc>
        <w:tc>
          <w:tcPr>
            <w:tcW w:w="1360" w:type="dxa"/>
            <w:tcBorders>
              <w:top w:val="nil"/>
              <w:left w:val="nil"/>
              <w:bottom w:val="single" w:sz="4" w:space="0" w:color="auto"/>
              <w:right w:val="single" w:sz="8" w:space="0" w:color="auto"/>
            </w:tcBorders>
            <w:shd w:val="clear" w:color="auto" w:fill="auto"/>
            <w:hideMark/>
          </w:tcPr>
          <w:p w14:paraId="11D795FD"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10.2</w:t>
            </w:r>
          </w:p>
        </w:tc>
      </w:tr>
      <w:tr w:rsidR="00973D1B" w:rsidRPr="002C579D" w14:paraId="1EA50FFF"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hideMark/>
          </w:tcPr>
          <w:p w14:paraId="59F440E4" w14:textId="5468E587"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R1-1800126</w:t>
            </w:r>
          </w:p>
        </w:tc>
        <w:tc>
          <w:tcPr>
            <w:tcW w:w="1180" w:type="dxa"/>
            <w:tcBorders>
              <w:top w:val="nil"/>
              <w:left w:val="nil"/>
              <w:bottom w:val="single" w:sz="4" w:space="0" w:color="auto"/>
              <w:right w:val="single" w:sz="4" w:space="0" w:color="auto"/>
            </w:tcBorders>
            <w:shd w:val="clear" w:color="000000" w:fill="D9D9D9"/>
            <w:hideMark/>
          </w:tcPr>
          <w:p w14:paraId="0A6A3DC7"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Fujitsu</w:t>
            </w:r>
          </w:p>
        </w:tc>
        <w:tc>
          <w:tcPr>
            <w:tcW w:w="4320" w:type="dxa"/>
            <w:tcBorders>
              <w:top w:val="nil"/>
              <w:left w:val="nil"/>
              <w:bottom w:val="single" w:sz="4" w:space="0" w:color="auto"/>
              <w:right w:val="single" w:sz="4" w:space="0" w:color="auto"/>
            </w:tcBorders>
            <w:shd w:val="clear" w:color="000000" w:fill="D9D9D9"/>
            <w:hideMark/>
          </w:tcPr>
          <w:p w14:paraId="28D0B1B1"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UL beam indication</w:t>
            </w:r>
          </w:p>
        </w:tc>
        <w:tc>
          <w:tcPr>
            <w:tcW w:w="4380" w:type="dxa"/>
            <w:tcBorders>
              <w:top w:val="nil"/>
              <w:left w:val="nil"/>
              <w:bottom w:val="single" w:sz="4" w:space="0" w:color="auto"/>
              <w:right w:val="single" w:sz="4" w:space="0" w:color="auto"/>
            </w:tcBorders>
            <w:shd w:val="clear" w:color="000000" w:fill="D9D9D9"/>
            <w:hideMark/>
          </w:tcPr>
          <w:p w14:paraId="693DA831"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Default behavior before MAC-CE activation of spatial relation for PUCCH</w:t>
            </w:r>
          </w:p>
        </w:tc>
        <w:tc>
          <w:tcPr>
            <w:tcW w:w="1360" w:type="dxa"/>
            <w:tcBorders>
              <w:top w:val="nil"/>
              <w:left w:val="nil"/>
              <w:bottom w:val="single" w:sz="4" w:space="0" w:color="auto"/>
              <w:right w:val="single" w:sz="4" w:space="0" w:color="auto"/>
            </w:tcBorders>
            <w:shd w:val="clear" w:color="000000" w:fill="D9D9D9"/>
            <w:hideMark/>
          </w:tcPr>
          <w:p w14:paraId="7D6A5848"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38.213</w:t>
            </w:r>
          </w:p>
        </w:tc>
        <w:tc>
          <w:tcPr>
            <w:tcW w:w="1360" w:type="dxa"/>
            <w:tcBorders>
              <w:top w:val="nil"/>
              <w:left w:val="nil"/>
              <w:bottom w:val="single" w:sz="4" w:space="0" w:color="auto"/>
              <w:right w:val="single" w:sz="8" w:space="0" w:color="auto"/>
            </w:tcBorders>
            <w:shd w:val="clear" w:color="000000" w:fill="D9D9D9"/>
            <w:hideMark/>
          </w:tcPr>
          <w:p w14:paraId="73C9C55A"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9.2.1</w:t>
            </w:r>
          </w:p>
        </w:tc>
      </w:tr>
      <w:tr w:rsidR="00973D1B" w:rsidRPr="002C579D" w14:paraId="468FF546" w14:textId="77777777" w:rsidTr="002C579D">
        <w:trPr>
          <w:trHeight w:val="216"/>
        </w:trPr>
        <w:tc>
          <w:tcPr>
            <w:tcW w:w="1220" w:type="dxa"/>
            <w:tcBorders>
              <w:top w:val="nil"/>
              <w:left w:val="single" w:sz="8" w:space="0" w:color="auto"/>
              <w:bottom w:val="single" w:sz="8" w:space="0" w:color="auto"/>
              <w:right w:val="single" w:sz="4" w:space="0" w:color="auto"/>
            </w:tcBorders>
            <w:shd w:val="clear" w:color="000000" w:fill="D9D9D9"/>
            <w:noWrap/>
            <w:vAlign w:val="center"/>
            <w:hideMark/>
          </w:tcPr>
          <w:p w14:paraId="3D637EAE" w14:textId="1D63DAD3"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R1-1800110</w:t>
            </w:r>
          </w:p>
        </w:tc>
        <w:tc>
          <w:tcPr>
            <w:tcW w:w="1180" w:type="dxa"/>
            <w:tcBorders>
              <w:top w:val="nil"/>
              <w:left w:val="nil"/>
              <w:bottom w:val="single" w:sz="8" w:space="0" w:color="auto"/>
              <w:right w:val="single" w:sz="4" w:space="0" w:color="auto"/>
            </w:tcBorders>
            <w:shd w:val="clear" w:color="000000" w:fill="D9D9D9"/>
            <w:hideMark/>
          </w:tcPr>
          <w:p w14:paraId="2CFFB945"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ZTE</w:t>
            </w:r>
          </w:p>
        </w:tc>
        <w:tc>
          <w:tcPr>
            <w:tcW w:w="4320" w:type="dxa"/>
            <w:tcBorders>
              <w:top w:val="nil"/>
              <w:left w:val="nil"/>
              <w:bottom w:val="single" w:sz="8" w:space="0" w:color="auto"/>
              <w:right w:val="single" w:sz="4" w:space="0" w:color="auto"/>
            </w:tcBorders>
            <w:shd w:val="clear" w:color="000000" w:fill="D9D9D9"/>
            <w:hideMark/>
          </w:tcPr>
          <w:p w14:paraId="697360A9"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UL beam indication</w:t>
            </w:r>
          </w:p>
        </w:tc>
        <w:tc>
          <w:tcPr>
            <w:tcW w:w="4380" w:type="dxa"/>
            <w:tcBorders>
              <w:top w:val="nil"/>
              <w:left w:val="nil"/>
              <w:bottom w:val="single" w:sz="8" w:space="0" w:color="auto"/>
              <w:right w:val="single" w:sz="4" w:space="0" w:color="auto"/>
            </w:tcBorders>
            <w:shd w:val="clear" w:color="000000" w:fill="D9D9D9"/>
            <w:hideMark/>
          </w:tcPr>
          <w:p w14:paraId="0A501002"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proofErr w:type="spellStart"/>
            <w:r w:rsidRPr="002C579D">
              <w:rPr>
                <w:rFonts w:asciiTheme="minorHAnsi" w:hAnsiTheme="minorHAnsi"/>
                <w:color w:val="000000"/>
                <w:sz w:val="16"/>
                <w:szCs w:val="16"/>
                <w:lang w:val="en-US" w:eastAsia="en-US"/>
              </w:rPr>
              <w:t>Agrrement</w:t>
            </w:r>
            <w:proofErr w:type="spellEnd"/>
            <w:r w:rsidRPr="002C579D">
              <w:rPr>
                <w:rFonts w:asciiTheme="minorHAnsi" w:hAnsiTheme="minorHAnsi"/>
                <w:color w:val="000000"/>
                <w:sz w:val="16"/>
                <w:szCs w:val="16"/>
                <w:lang w:val="en-US" w:eastAsia="en-US"/>
              </w:rPr>
              <w:t xml:space="preserve"> #6 not captured</w:t>
            </w:r>
          </w:p>
        </w:tc>
        <w:tc>
          <w:tcPr>
            <w:tcW w:w="1360" w:type="dxa"/>
            <w:tcBorders>
              <w:top w:val="nil"/>
              <w:left w:val="nil"/>
              <w:bottom w:val="single" w:sz="8" w:space="0" w:color="auto"/>
              <w:right w:val="single" w:sz="4" w:space="0" w:color="auto"/>
            </w:tcBorders>
            <w:shd w:val="clear" w:color="000000" w:fill="D9D9D9"/>
            <w:hideMark/>
          </w:tcPr>
          <w:p w14:paraId="3C82E3AF"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38.213</w:t>
            </w:r>
          </w:p>
        </w:tc>
        <w:tc>
          <w:tcPr>
            <w:tcW w:w="1360" w:type="dxa"/>
            <w:tcBorders>
              <w:top w:val="nil"/>
              <w:left w:val="nil"/>
              <w:bottom w:val="single" w:sz="8" w:space="0" w:color="auto"/>
              <w:right w:val="single" w:sz="8" w:space="0" w:color="auto"/>
            </w:tcBorders>
            <w:shd w:val="clear" w:color="000000" w:fill="D9D9D9"/>
            <w:hideMark/>
          </w:tcPr>
          <w:p w14:paraId="04658AF1"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9.2.1</w:t>
            </w:r>
          </w:p>
        </w:tc>
      </w:tr>
      <w:tr w:rsidR="00973D1B" w:rsidRPr="002C579D" w14:paraId="7E1489AB" w14:textId="77777777" w:rsidTr="002C579D">
        <w:trPr>
          <w:trHeight w:val="216"/>
        </w:trPr>
        <w:tc>
          <w:tcPr>
            <w:tcW w:w="1220" w:type="dxa"/>
            <w:tcBorders>
              <w:top w:val="nil"/>
              <w:left w:val="single" w:sz="8" w:space="0" w:color="auto"/>
              <w:bottom w:val="single" w:sz="4" w:space="0" w:color="auto"/>
              <w:right w:val="single" w:sz="4" w:space="0" w:color="auto"/>
            </w:tcBorders>
            <w:shd w:val="clear" w:color="auto" w:fill="auto"/>
            <w:noWrap/>
            <w:vAlign w:val="center"/>
            <w:hideMark/>
          </w:tcPr>
          <w:p w14:paraId="1BC16156" w14:textId="77B4B337"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R1-1800751</w:t>
            </w:r>
          </w:p>
        </w:tc>
        <w:tc>
          <w:tcPr>
            <w:tcW w:w="1180" w:type="dxa"/>
            <w:tcBorders>
              <w:top w:val="nil"/>
              <w:left w:val="nil"/>
              <w:bottom w:val="single" w:sz="4" w:space="0" w:color="auto"/>
              <w:right w:val="single" w:sz="4" w:space="0" w:color="auto"/>
            </w:tcBorders>
            <w:shd w:val="clear" w:color="auto" w:fill="auto"/>
            <w:hideMark/>
          </w:tcPr>
          <w:p w14:paraId="64BFF117"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Nokia</w:t>
            </w:r>
          </w:p>
        </w:tc>
        <w:tc>
          <w:tcPr>
            <w:tcW w:w="4320" w:type="dxa"/>
            <w:tcBorders>
              <w:top w:val="nil"/>
              <w:left w:val="nil"/>
              <w:bottom w:val="single" w:sz="4" w:space="0" w:color="auto"/>
              <w:right w:val="single" w:sz="4" w:space="0" w:color="auto"/>
            </w:tcBorders>
            <w:shd w:val="clear" w:color="auto" w:fill="auto"/>
            <w:hideMark/>
          </w:tcPr>
          <w:p w14:paraId="3290D8D2"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QCL assumption for ZP/NZP CSI-RS-based IMR</w:t>
            </w:r>
          </w:p>
        </w:tc>
        <w:tc>
          <w:tcPr>
            <w:tcW w:w="4380" w:type="dxa"/>
            <w:tcBorders>
              <w:top w:val="nil"/>
              <w:left w:val="nil"/>
              <w:bottom w:val="single" w:sz="4" w:space="0" w:color="auto"/>
              <w:right w:val="single" w:sz="4" w:space="0" w:color="auto"/>
            </w:tcBorders>
            <w:shd w:val="clear" w:color="auto" w:fill="auto"/>
            <w:hideMark/>
          </w:tcPr>
          <w:p w14:paraId="79DAC57B"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Linkage to CSI-RS for CM undefined</w:t>
            </w:r>
          </w:p>
        </w:tc>
        <w:tc>
          <w:tcPr>
            <w:tcW w:w="1360" w:type="dxa"/>
            <w:tcBorders>
              <w:top w:val="nil"/>
              <w:left w:val="nil"/>
              <w:bottom w:val="single" w:sz="4" w:space="0" w:color="auto"/>
              <w:right w:val="single" w:sz="4" w:space="0" w:color="auto"/>
            </w:tcBorders>
            <w:shd w:val="clear" w:color="auto" w:fill="auto"/>
            <w:hideMark/>
          </w:tcPr>
          <w:p w14:paraId="58D6EDAD"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auto" w:fill="auto"/>
            <w:hideMark/>
          </w:tcPr>
          <w:p w14:paraId="4868F890"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5.1.4.2, 5.2.2.4</w:t>
            </w:r>
          </w:p>
        </w:tc>
      </w:tr>
      <w:tr w:rsidR="00973D1B" w:rsidRPr="002C579D" w14:paraId="706FF136"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hideMark/>
          </w:tcPr>
          <w:p w14:paraId="74F271C2" w14:textId="658D5A72"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R1-1800126</w:t>
            </w:r>
          </w:p>
        </w:tc>
        <w:tc>
          <w:tcPr>
            <w:tcW w:w="1180" w:type="dxa"/>
            <w:tcBorders>
              <w:top w:val="nil"/>
              <w:left w:val="nil"/>
              <w:bottom w:val="single" w:sz="4" w:space="0" w:color="auto"/>
              <w:right w:val="single" w:sz="4" w:space="0" w:color="auto"/>
            </w:tcBorders>
            <w:shd w:val="clear" w:color="000000" w:fill="D9D9D9"/>
            <w:hideMark/>
          </w:tcPr>
          <w:p w14:paraId="14031D6F"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Fujitsu</w:t>
            </w:r>
          </w:p>
        </w:tc>
        <w:tc>
          <w:tcPr>
            <w:tcW w:w="4320" w:type="dxa"/>
            <w:tcBorders>
              <w:top w:val="nil"/>
              <w:left w:val="nil"/>
              <w:bottom w:val="single" w:sz="4" w:space="0" w:color="auto"/>
              <w:right w:val="single" w:sz="4" w:space="0" w:color="auto"/>
            </w:tcBorders>
            <w:shd w:val="clear" w:color="000000" w:fill="D9D9D9"/>
            <w:hideMark/>
          </w:tcPr>
          <w:p w14:paraId="568CEBD6"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DL beam indication</w:t>
            </w:r>
          </w:p>
        </w:tc>
        <w:tc>
          <w:tcPr>
            <w:tcW w:w="4380" w:type="dxa"/>
            <w:tcBorders>
              <w:top w:val="nil"/>
              <w:left w:val="nil"/>
              <w:bottom w:val="single" w:sz="4" w:space="0" w:color="auto"/>
              <w:right w:val="single" w:sz="4" w:space="0" w:color="auto"/>
            </w:tcBorders>
            <w:shd w:val="clear" w:color="000000" w:fill="D9D9D9"/>
            <w:hideMark/>
          </w:tcPr>
          <w:p w14:paraId="774059A4"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proofErr w:type="spellStart"/>
            <w:r w:rsidRPr="002C579D">
              <w:rPr>
                <w:rFonts w:asciiTheme="minorHAnsi" w:hAnsiTheme="minorHAnsi"/>
                <w:color w:val="000000"/>
                <w:sz w:val="16"/>
                <w:szCs w:val="16"/>
                <w:lang w:val="en-US" w:eastAsia="en-US"/>
              </w:rPr>
              <w:t>Clarfication</w:t>
            </w:r>
            <w:proofErr w:type="spellEnd"/>
            <w:r w:rsidRPr="002C579D">
              <w:rPr>
                <w:rFonts w:asciiTheme="minorHAnsi" w:hAnsiTheme="minorHAnsi"/>
                <w:color w:val="000000"/>
                <w:sz w:val="16"/>
                <w:szCs w:val="16"/>
                <w:lang w:val="en-US" w:eastAsia="en-US"/>
              </w:rPr>
              <w:t xml:space="preserve"> of scheduling offset needed</w:t>
            </w:r>
          </w:p>
        </w:tc>
        <w:tc>
          <w:tcPr>
            <w:tcW w:w="1360" w:type="dxa"/>
            <w:tcBorders>
              <w:top w:val="nil"/>
              <w:left w:val="nil"/>
              <w:bottom w:val="single" w:sz="4" w:space="0" w:color="auto"/>
              <w:right w:val="single" w:sz="4" w:space="0" w:color="auto"/>
            </w:tcBorders>
            <w:shd w:val="clear" w:color="000000" w:fill="D9D9D9"/>
            <w:hideMark/>
          </w:tcPr>
          <w:p w14:paraId="7ABBCDCE"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11D340F7"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5.1.5</w:t>
            </w:r>
          </w:p>
        </w:tc>
      </w:tr>
      <w:tr w:rsidR="00973D1B" w:rsidRPr="002C579D" w14:paraId="53CF4BB8"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center"/>
            <w:hideMark/>
          </w:tcPr>
          <w:p w14:paraId="11858846" w14:textId="700A405B"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R1-1800100</w:t>
            </w:r>
          </w:p>
        </w:tc>
        <w:tc>
          <w:tcPr>
            <w:tcW w:w="1180" w:type="dxa"/>
            <w:tcBorders>
              <w:top w:val="nil"/>
              <w:left w:val="nil"/>
              <w:bottom w:val="single" w:sz="4" w:space="0" w:color="auto"/>
              <w:right w:val="single" w:sz="4" w:space="0" w:color="auto"/>
            </w:tcBorders>
            <w:shd w:val="clear" w:color="000000" w:fill="D9D9D9"/>
            <w:hideMark/>
          </w:tcPr>
          <w:p w14:paraId="4AC9AF62"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proofErr w:type="spellStart"/>
            <w:r w:rsidRPr="002C579D">
              <w:rPr>
                <w:rFonts w:asciiTheme="minorHAnsi" w:hAnsiTheme="minorHAnsi"/>
                <w:color w:val="000000"/>
                <w:sz w:val="16"/>
                <w:szCs w:val="16"/>
                <w:lang w:val="en-US" w:eastAsia="en-US"/>
              </w:rPr>
              <w:t>Huwaei</w:t>
            </w:r>
            <w:proofErr w:type="spellEnd"/>
          </w:p>
        </w:tc>
        <w:tc>
          <w:tcPr>
            <w:tcW w:w="4320" w:type="dxa"/>
            <w:tcBorders>
              <w:top w:val="nil"/>
              <w:left w:val="nil"/>
              <w:bottom w:val="single" w:sz="4" w:space="0" w:color="auto"/>
              <w:right w:val="single" w:sz="4" w:space="0" w:color="auto"/>
            </w:tcBorders>
            <w:shd w:val="clear" w:color="000000" w:fill="D9D9D9"/>
            <w:hideMark/>
          </w:tcPr>
          <w:p w14:paraId="365A2728"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DL beam indication</w:t>
            </w:r>
          </w:p>
        </w:tc>
        <w:tc>
          <w:tcPr>
            <w:tcW w:w="4380" w:type="dxa"/>
            <w:tcBorders>
              <w:top w:val="nil"/>
              <w:left w:val="nil"/>
              <w:bottom w:val="single" w:sz="4" w:space="0" w:color="auto"/>
              <w:right w:val="single" w:sz="4" w:space="0" w:color="auto"/>
            </w:tcBorders>
            <w:shd w:val="clear" w:color="000000" w:fill="D9D9D9"/>
            <w:hideMark/>
          </w:tcPr>
          <w:p w14:paraId="3B9CFA3B"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Agreement #3 not correctly captured</w:t>
            </w:r>
          </w:p>
        </w:tc>
        <w:tc>
          <w:tcPr>
            <w:tcW w:w="1360" w:type="dxa"/>
            <w:tcBorders>
              <w:top w:val="nil"/>
              <w:left w:val="nil"/>
              <w:bottom w:val="single" w:sz="4" w:space="0" w:color="auto"/>
              <w:right w:val="single" w:sz="4" w:space="0" w:color="auto"/>
            </w:tcBorders>
            <w:shd w:val="clear" w:color="000000" w:fill="D9D9D9"/>
            <w:hideMark/>
          </w:tcPr>
          <w:p w14:paraId="103874F7"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60EBDECD"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5.1.5</w:t>
            </w:r>
          </w:p>
        </w:tc>
      </w:tr>
      <w:tr w:rsidR="00973D1B" w:rsidRPr="002C579D" w14:paraId="152C6F0E"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center"/>
            <w:hideMark/>
          </w:tcPr>
          <w:p w14:paraId="5298A53D" w14:textId="20AAC265"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R1-1800100</w:t>
            </w:r>
          </w:p>
        </w:tc>
        <w:tc>
          <w:tcPr>
            <w:tcW w:w="1180" w:type="dxa"/>
            <w:tcBorders>
              <w:top w:val="nil"/>
              <w:left w:val="nil"/>
              <w:bottom w:val="single" w:sz="4" w:space="0" w:color="auto"/>
              <w:right w:val="single" w:sz="4" w:space="0" w:color="auto"/>
            </w:tcBorders>
            <w:shd w:val="clear" w:color="000000" w:fill="D9D9D9"/>
            <w:hideMark/>
          </w:tcPr>
          <w:p w14:paraId="4507F55E"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proofErr w:type="spellStart"/>
            <w:r w:rsidRPr="002C579D">
              <w:rPr>
                <w:rFonts w:asciiTheme="minorHAnsi" w:hAnsiTheme="minorHAnsi"/>
                <w:color w:val="000000"/>
                <w:sz w:val="16"/>
                <w:szCs w:val="16"/>
                <w:lang w:val="en-US" w:eastAsia="en-US"/>
              </w:rPr>
              <w:t>Huwaei</w:t>
            </w:r>
            <w:proofErr w:type="spellEnd"/>
          </w:p>
        </w:tc>
        <w:tc>
          <w:tcPr>
            <w:tcW w:w="4320" w:type="dxa"/>
            <w:tcBorders>
              <w:top w:val="nil"/>
              <w:left w:val="nil"/>
              <w:bottom w:val="single" w:sz="4" w:space="0" w:color="auto"/>
              <w:right w:val="single" w:sz="4" w:space="0" w:color="auto"/>
            </w:tcBorders>
            <w:shd w:val="clear" w:color="000000" w:fill="D9D9D9"/>
            <w:hideMark/>
          </w:tcPr>
          <w:p w14:paraId="5D5CF9AD"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DL beam indication</w:t>
            </w:r>
          </w:p>
        </w:tc>
        <w:tc>
          <w:tcPr>
            <w:tcW w:w="4380" w:type="dxa"/>
            <w:tcBorders>
              <w:top w:val="nil"/>
              <w:left w:val="nil"/>
              <w:bottom w:val="single" w:sz="4" w:space="0" w:color="auto"/>
              <w:right w:val="single" w:sz="4" w:space="0" w:color="auto"/>
            </w:tcBorders>
            <w:shd w:val="clear" w:color="000000" w:fill="D9D9D9"/>
            <w:hideMark/>
          </w:tcPr>
          <w:p w14:paraId="52E35C94"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Possible QCL reference ambiguity</w:t>
            </w:r>
          </w:p>
        </w:tc>
        <w:tc>
          <w:tcPr>
            <w:tcW w:w="1360" w:type="dxa"/>
            <w:tcBorders>
              <w:top w:val="nil"/>
              <w:left w:val="nil"/>
              <w:bottom w:val="single" w:sz="4" w:space="0" w:color="auto"/>
              <w:right w:val="single" w:sz="4" w:space="0" w:color="auto"/>
            </w:tcBorders>
            <w:shd w:val="clear" w:color="000000" w:fill="D9D9D9"/>
            <w:hideMark/>
          </w:tcPr>
          <w:p w14:paraId="776387D5"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405EF010"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5.1.5</w:t>
            </w:r>
          </w:p>
        </w:tc>
      </w:tr>
      <w:tr w:rsidR="00973D1B" w:rsidRPr="002C579D" w14:paraId="070C77B9"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center"/>
            <w:hideMark/>
          </w:tcPr>
          <w:p w14:paraId="64AD2C5F" w14:textId="7FA308E6"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R1-1800100</w:t>
            </w:r>
          </w:p>
        </w:tc>
        <w:tc>
          <w:tcPr>
            <w:tcW w:w="1180" w:type="dxa"/>
            <w:tcBorders>
              <w:top w:val="nil"/>
              <w:left w:val="nil"/>
              <w:bottom w:val="single" w:sz="4" w:space="0" w:color="auto"/>
              <w:right w:val="single" w:sz="4" w:space="0" w:color="auto"/>
            </w:tcBorders>
            <w:shd w:val="clear" w:color="000000" w:fill="D9D9D9"/>
            <w:hideMark/>
          </w:tcPr>
          <w:p w14:paraId="628C32DE"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proofErr w:type="spellStart"/>
            <w:r w:rsidRPr="002C579D">
              <w:rPr>
                <w:rFonts w:asciiTheme="minorHAnsi" w:hAnsiTheme="minorHAnsi"/>
                <w:color w:val="000000"/>
                <w:sz w:val="16"/>
                <w:szCs w:val="16"/>
                <w:lang w:val="en-US" w:eastAsia="en-US"/>
              </w:rPr>
              <w:t>Huwaei</w:t>
            </w:r>
            <w:proofErr w:type="spellEnd"/>
          </w:p>
        </w:tc>
        <w:tc>
          <w:tcPr>
            <w:tcW w:w="4320" w:type="dxa"/>
            <w:tcBorders>
              <w:top w:val="nil"/>
              <w:left w:val="nil"/>
              <w:bottom w:val="single" w:sz="4" w:space="0" w:color="auto"/>
              <w:right w:val="single" w:sz="4" w:space="0" w:color="auto"/>
            </w:tcBorders>
            <w:shd w:val="clear" w:color="000000" w:fill="D9D9D9"/>
            <w:hideMark/>
          </w:tcPr>
          <w:p w14:paraId="3788603E"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DL beam indication</w:t>
            </w:r>
          </w:p>
        </w:tc>
        <w:tc>
          <w:tcPr>
            <w:tcW w:w="4380" w:type="dxa"/>
            <w:tcBorders>
              <w:top w:val="nil"/>
              <w:left w:val="nil"/>
              <w:bottom w:val="single" w:sz="4" w:space="0" w:color="auto"/>
              <w:right w:val="single" w:sz="4" w:space="0" w:color="auto"/>
            </w:tcBorders>
            <w:shd w:val="clear" w:color="000000" w:fill="D9D9D9"/>
            <w:hideMark/>
          </w:tcPr>
          <w:p w14:paraId="05E0EC17"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QCL type ambiguity</w:t>
            </w:r>
          </w:p>
        </w:tc>
        <w:tc>
          <w:tcPr>
            <w:tcW w:w="1360" w:type="dxa"/>
            <w:tcBorders>
              <w:top w:val="nil"/>
              <w:left w:val="nil"/>
              <w:bottom w:val="single" w:sz="4" w:space="0" w:color="auto"/>
              <w:right w:val="single" w:sz="4" w:space="0" w:color="auto"/>
            </w:tcBorders>
            <w:shd w:val="clear" w:color="000000" w:fill="D9D9D9"/>
            <w:hideMark/>
          </w:tcPr>
          <w:p w14:paraId="20CDDF5C"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14FE9E52"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5.1.5</w:t>
            </w:r>
          </w:p>
        </w:tc>
      </w:tr>
      <w:tr w:rsidR="00973D1B" w:rsidRPr="002C579D" w14:paraId="7187A44A"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center"/>
            <w:hideMark/>
          </w:tcPr>
          <w:p w14:paraId="0459B613" w14:textId="2A4A8769"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R1-1800311</w:t>
            </w:r>
          </w:p>
        </w:tc>
        <w:tc>
          <w:tcPr>
            <w:tcW w:w="1180" w:type="dxa"/>
            <w:tcBorders>
              <w:top w:val="nil"/>
              <w:left w:val="nil"/>
              <w:bottom w:val="single" w:sz="4" w:space="0" w:color="auto"/>
              <w:right w:val="single" w:sz="4" w:space="0" w:color="auto"/>
            </w:tcBorders>
            <w:shd w:val="clear" w:color="000000" w:fill="D9D9D9"/>
            <w:hideMark/>
          </w:tcPr>
          <w:p w14:paraId="00AA9D6B"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Intel</w:t>
            </w:r>
          </w:p>
        </w:tc>
        <w:tc>
          <w:tcPr>
            <w:tcW w:w="4320" w:type="dxa"/>
            <w:tcBorders>
              <w:top w:val="nil"/>
              <w:left w:val="nil"/>
              <w:bottom w:val="single" w:sz="4" w:space="0" w:color="auto"/>
              <w:right w:val="single" w:sz="4" w:space="0" w:color="auto"/>
            </w:tcBorders>
            <w:shd w:val="clear" w:color="000000" w:fill="D9D9D9"/>
            <w:hideMark/>
          </w:tcPr>
          <w:p w14:paraId="2C65D349"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DL beam indication</w:t>
            </w:r>
          </w:p>
        </w:tc>
        <w:tc>
          <w:tcPr>
            <w:tcW w:w="4380" w:type="dxa"/>
            <w:tcBorders>
              <w:top w:val="nil"/>
              <w:left w:val="nil"/>
              <w:bottom w:val="single" w:sz="4" w:space="0" w:color="auto"/>
              <w:right w:val="single" w:sz="4" w:space="0" w:color="auto"/>
            </w:tcBorders>
            <w:shd w:val="clear" w:color="000000" w:fill="D9D9D9"/>
            <w:hideMark/>
          </w:tcPr>
          <w:p w14:paraId="596760F3"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Default TCI state for PDSCH</w:t>
            </w:r>
          </w:p>
        </w:tc>
        <w:tc>
          <w:tcPr>
            <w:tcW w:w="1360" w:type="dxa"/>
            <w:tcBorders>
              <w:top w:val="nil"/>
              <w:left w:val="nil"/>
              <w:bottom w:val="single" w:sz="4" w:space="0" w:color="auto"/>
              <w:right w:val="single" w:sz="4" w:space="0" w:color="auto"/>
            </w:tcBorders>
            <w:shd w:val="clear" w:color="000000" w:fill="D9D9D9"/>
            <w:hideMark/>
          </w:tcPr>
          <w:p w14:paraId="6DFF2FEA"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71DE203C"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5.1.5</w:t>
            </w:r>
          </w:p>
        </w:tc>
      </w:tr>
      <w:tr w:rsidR="00973D1B" w:rsidRPr="002C579D" w14:paraId="6F12BB60"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bottom"/>
            <w:hideMark/>
          </w:tcPr>
          <w:p w14:paraId="7BB6ACE1" w14:textId="709EA71F"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R1-1800498</w:t>
            </w:r>
          </w:p>
        </w:tc>
        <w:tc>
          <w:tcPr>
            <w:tcW w:w="1180" w:type="dxa"/>
            <w:tcBorders>
              <w:top w:val="nil"/>
              <w:left w:val="nil"/>
              <w:bottom w:val="single" w:sz="4" w:space="0" w:color="auto"/>
              <w:right w:val="single" w:sz="4" w:space="0" w:color="auto"/>
            </w:tcBorders>
            <w:shd w:val="clear" w:color="000000" w:fill="D9D9D9"/>
            <w:hideMark/>
          </w:tcPr>
          <w:p w14:paraId="2A1339A3"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OPPO</w:t>
            </w:r>
          </w:p>
        </w:tc>
        <w:tc>
          <w:tcPr>
            <w:tcW w:w="4320" w:type="dxa"/>
            <w:tcBorders>
              <w:top w:val="nil"/>
              <w:left w:val="nil"/>
              <w:bottom w:val="single" w:sz="4" w:space="0" w:color="auto"/>
              <w:right w:val="single" w:sz="4" w:space="0" w:color="auto"/>
            </w:tcBorders>
            <w:shd w:val="clear" w:color="000000" w:fill="D9D9D9"/>
            <w:hideMark/>
          </w:tcPr>
          <w:p w14:paraId="3E96EC78"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DL beam indication</w:t>
            </w:r>
          </w:p>
        </w:tc>
        <w:tc>
          <w:tcPr>
            <w:tcW w:w="4380" w:type="dxa"/>
            <w:tcBorders>
              <w:top w:val="nil"/>
              <w:left w:val="nil"/>
              <w:bottom w:val="single" w:sz="4" w:space="0" w:color="auto"/>
              <w:right w:val="single" w:sz="4" w:space="0" w:color="auto"/>
            </w:tcBorders>
            <w:shd w:val="clear" w:color="000000" w:fill="D9D9D9"/>
            <w:hideMark/>
          </w:tcPr>
          <w:p w14:paraId="3EFA91A8"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Agreement #8 not captured completely</w:t>
            </w:r>
          </w:p>
        </w:tc>
        <w:tc>
          <w:tcPr>
            <w:tcW w:w="1360" w:type="dxa"/>
            <w:tcBorders>
              <w:top w:val="nil"/>
              <w:left w:val="nil"/>
              <w:bottom w:val="single" w:sz="4" w:space="0" w:color="auto"/>
              <w:right w:val="single" w:sz="4" w:space="0" w:color="auto"/>
            </w:tcBorders>
            <w:shd w:val="clear" w:color="000000" w:fill="D9D9D9"/>
            <w:hideMark/>
          </w:tcPr>
          <w:p w14:paraId="2DB2C09C"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3D93EDB3"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5.1.5</w:t>
            </w:r>
          </w:p>
        </w:tc>
      </w:tr>
      <w:tr w:rsidR="00973D1B" w:rsidRPr="002C579D" w14:paraId="42C3DF32"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bottom"/>
            <w:hideMark/>
          </w:tcPr>
          <w:p w14:paraId="3CAB396D" w14:textId="2FEF410A"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R1-1800498</w:t>
            </w:r>
          </w:p>
        </w:tc>
        <w:tc>
          <w:tcPr>
            <w:tcW w:w="1180" w:type="dxa"/>
            <w:tcBorders>
              <w:top w:val="nil"/>
              <w:left w:val="nil"/>
              <w:bottom w:val="single" w:sz="4" w:space="0" w:color="auto"/>
              <w:right w:val="single" w:sz="4" w:space="0" w:color="auto"/>
            </w:tcBorders>
            <w:shd w:val="clear" w:color="000000" w:fill="D9D9D9"/>
            <w:hideMark/>
          </w:tcPr>
          <w:p w14:paraId="0FC6E5A4"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OPPO</w:t>
            </w:r>
          </w:p>
        </w:tc>
        <w:tc>
          <w:tcPr>
            <w:tcW w:w="4320" w:type="dxa"/>
            <w:tcBorders>
              <w:top w:val="nil"/>
              <w:left w:val="nil"/>
              <w:bottom w:val="single" w:sz="4" w:space="0" w:color="auto"/>
              <w:right w:val="single" w:sz="4" w:space="0" w:color="auto"/>
            </w:tcBorders>
            <w:shd w:val="clear" w:color="000000" w:fill="D9D9D9"/>
            <w:hideMark/>
          </w:tcPr>
          <w:p w14:paraId="5C646C4A"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DL beam indication</w:t>
            </w:r>
          </w:p>
        </w:tc>
        <w:tc>
          <w:tcPr>
            <w:tcW w:w="4380" w:type="dxa"/>
            <w:tcBorders>
              <w:top w:val="nil"/>
              <w:left w:val="nil"/>
              <w:bottom w:val="single" w:sz="4" w:space="0" w:color="auto"/>
              <w:right w:val="single" w:sz="4" w:space="0" w:color="auto"/>
            </w:tcBorders>
            <w:shd w:val="clear" w:color="000000" w:fill="D9D9D9"/>
            <w:hideMark/>
          </w:tcPr>
          <w:p w14:paraId="139B3711"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QCL assumptions for PDSCH</w:t>
            </w:r>
          </w:p>
        </w:tc>
        <w:tc>
          <w:tcPr>
            <w:tcW w:w="1360" w:type="dxa"/>
            <w:tcBorders>
              <w:top w:val="nil"/>
              <w:left w:val="nil"/>
              <w:bottom w:val="single" w:sz="4" w:space="0" w:color="auto"/>
              <w:right w:val="single" w:sz="4" w:space="0" w:color="auto"/>
            </w:tcBorders>
            <w:shd w:val="clear" w:color="000000" w:fill="D9D9D9"/>
            <w:hideMark/>
          </w:tcPr>
          <w:p w14:paraId="449C3508"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37AB540A"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5.1.5</w:t>
            </w:r>
          </w:p>
        </w:tc>
      </w:tr>
      <w:tr w:rsidR="00973D1B" w:rsidRPr="002C579D" w14:paraId="21423891"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hideMark/>
          </w:tcPr>
          <w:p w14:paraId="6F5659A7" w14:textId="70BB5628"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R1-1800432</w:t>
            </w:r>
          </w:p>
        </w:tc>
        <w:tc>
          <w:tcPr>
            <w:tcW w:w="1180" w:type="dxa"/>
            <w:tcBorders>
              <w:top w:val="nil"/>
              <w:left w:val="nil"/>
              <w:bottom w:val="single" w:sz="4" w:space="0" w:color="auto"/>
              <w:right w:val="single" w:sz="4" w:space="0" w:color="auto"/>
            </w:tcBorders>
            <w:shd w:val="clear" w:color="000000" w:fill="D9D9D9"/>
            <w:hideMark/>
          </w:tcPr>
          <w:p w14:paraId="5EBA495D"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Samsung</w:t>
            </w:r>
          </w:p>
        </w:tc>
        <w:tc>
          <w:tcPr>
            <w:tcW w:w="4320" w:type="dxa"/>
            <w:tcBorders>
              <w:top w:val="nil"/>
              <w:left w:val="nil"/>
              <w:bottom w:val="single" w:sz="4" w:space="0" w:color="auto"/>
              <w:right w:val="single" w:sz="4" w:space="0" w:color="auto"/>
            </w:tcBorders>
            <w:shd w:val="clear" w:color="000000" w:fill="D9D9D9"/>
            <w:hideMark/>
          </w:tcPr>
          <w:p w14:paraId="2B9D4BA1"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DL beam indication</w:t>
            </w:r>
          </w:p>
        </w:tc>
        <w:tc>
          <w:tcPr>
            <w:tcW w:w="4380" w:type="dxa"/>
            <w:tcBorders>
              <w:top w:val="nil"/>
              <w:left w:val="nil"/>
              <w:bottom w:val="single" w:sz="4" w:space="0" w:color="auto"/>
              <w:right w:val="single" w:sz="4" w:space="0" w:color="auto"/>
            </w:tcBorders>
            <w:shd w:val="clear" w:color="000000" w:fill="D9D9D9"/>
            <w:hideMark/>
          </w:tcPr>
          <w:p w14:paraId="4C6B26F8"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Scheduling offset threshold</w:t>
            </w:r>
          </w:p>
        </w:tc>
        <w:tc>
          <w:tcPr>
            <w:tcW w:w="1360" w:type="dxa"/>
            <w:tcBorders>
              <w:top w:val="nil"/>
              <w:left w:val="nil"/>
              <w:bottom w:val="single" w:sz="4" w:space="0" w:color="auto"/>
              <w:right w:val="single" w:sz="4" w:space="0" w:color="auto"/>
            </w:tcBorders>
            <w:shd w:val="clear" w:color="000000" w:fill="D9D9D9"/>
            <w:hideMark/>
          </w:tcPr>
          <w:p w14:paraId="45C2DCDF"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5FA03C9D"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5.1.5</w:t>
            </w:r>
          </w:p>
        </w:tc>
      </w:tr>
      <w:tr w:rsidR="00973D1B" w:rsidRPr="002C579D" w14:paraId="0DCA1B88"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center"/>
            <w:hideMark/>
          </w:tcPr>
          <w:p w14:paraId="0480CAE0" w14:textId="757BDA86"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R1-1800185</w:t>
            </w:r>
          </w:p>
        </w:tc>
        <w:tc>
          <w:tcPr>
            <w:tcW w:w="1180" w:type="dxa"/>
            <w:tcBorders>
              <w:top w:val="nil"/>
              <w:left w:val="nil"/>
              <w:bottom w:val="single" w:sz="4" w:space="0" w:color="auto"/>
              <w:right w:val="single" w:sz="4" w:space="0" w:color="auto"/>
            </w:tcBorders>
            <w:shd w:val="clear" w:color="000000" w:fill="D9D9D9"/>
            <w:hideMark/>
          </w:tcPr>
          <w:p w14:paraId="5BF3AFB1"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vivo</w:t>
            </w:r>
          </w:p>
        </w:tc>
        <w:tc>
          <w:tcPr>
            <w:tcW w:w="4320" w:type="dxa"/>
            <w:tcBorders>
              <w:top w:val="nil"/>
              <w:left w:val="nil"/>
              <w:bottom w:val="single" w:sz="4" w:space="0" w:color="auto"/>
              <w:right w:val="single" w:sz="4" w:space="0" w:color="auto"/>
            </w:tcBorders>
            <w:shd w:val="clear" w:color="000000" w:fill="D9D9D9"/>
            <w:hideMark/>
          </w:tcPr>
          <w:p w14:paraId="2EA7FB9C"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DL beam indication</w:t>
            </w:r>
          </w:p>
        </w:tc>
        <w:tc>
          <w:tcPr>
            <w:tcW w:w="4380" w:type="dxa"/>
            <w:tcBorders>
              <w:top w:val="nil"/>
              <w:left w:val="nil"/>
              <w:bottom w:val="single" w:sz="4" w:space="0" w:color="auto"/>
              <w:right w:val="single" w:sz="4" w:space="0" w:color="auto"/>
            </w:tcBorders>
            <w:shd w:val="clear" w:color="000000" w:fill="D9D9D9"/>
            <w:hideMark/>
          </w:tcPr>
          <w:p w14:paraId="7D6C4F22"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QCL assumptions for PDSCH and PDCCH</w:t>
            </w:r>
          </w:p>
        </w:tc>
        <w:tc>
          <w:tcPr>
            <w:tcW w:w="1360" w:type="dxa"/>
            <w:tcBorders>
              <w:top w:val="nil"/>
              <w:left w:val="nil"/>
              <w:bottom w:val="single" w:sz="4" w:space="0" w:color="auto"/>
              <w:right w:val="single" w:sz="4" w:space="0" w:color="auto"/>
            </w:tcBorders>
            <w:shd w:val="clear" w:color="000000" w:fill="D9D9D9"/>
            <w:hideMark/>
          </w:tcPr>
          <w:p w14:paraId="3F24C5C9"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00C4825F"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5.1.5</w:t>
            </w:r>
          </w:p>
        </w:tc>
      </w:tr>
      <w:tr w:rsidR="00973D1B" w:rsidRPr="002C579D" w14:paraId="347BE213"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center"/>
            <w:hideMark/>
          </w:tcPr>
          <w:p w14:paraId="1D8ED98C" w14:textId="636B465B"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R1-1800185</w:t>
            </w:r>
          </w:p>
        </w:tc>
        <w:tc>
          <w:tcPr>
            <w:tcW w:w="1180" w:type="dxa"/>
            <w:tcBorders>
              <w:top w:val="nil"/>
              <w:left w:val="nil"/>
              <w:bottom w:val="single" w:sz="4" w:space="0" w:color="auto"/>
              <w:right w:val="single" w:sz="4" w:space="0" w:color="auto"/>
            </w:tcBorders>
            <w:shd w:val="clear" w:color="000000" w:fill="D9D9D9"/>
            <w:hideMark/>
          </w:tcPr>
          <w:p w14:paraId="0C3C8420"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vivo</w:t>
            </w:r>
          </w:p>
        </w:tc>
        <w:tc>
          <w:tcPr>
            <w:tcW w:w="4320" w:type="dxa"/>
            <w:tcBorders>
              <w:top w:val="nil"/>
              <w:left w:val="nil"/>
              <w:bottom w:val="single" w:sz="4" w:space="0" w:color="auto"/>
              <w:right w:val="single" w:sz="4" w:space="0" w:color="auto"/>
            </w:tcBorders>
            <w:shd w:val="clear" w:color="000000" w:fill="D9D9D9"/>
            <w:hideMark/>
          </w:tcPr>
          <w:p w14:paraId="08A57A8F"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DL beam indication</w:t>
            </w:r>
          </w:p>
        </w:tc>
        <w:tc>
          <w:tcPr>
            <w:tcW w:w="4380" w:type="dxa"/>
            <w:tcBorders>
              <w:top w:val="nil"/>
              <w:left w:val="nil"/>
              <w:bottom w:val="single" w:sz="4" w:space="0" w:color="auto"/>
              <w:right w:val="single" w:sz="4" w:space="0" w:color="auto"/>
            </w:tcBorders>
            <w:shd w:val="clear" w:color="000000" w:fill="D9D9D9"/>
            <w:hideMark/>
          </w:tcPr>
          <w:p w14:paraId="4F5B8140"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QCL assumptions for PDSCH</w:t>
            </w:r>
          </w:p>
        </w:tc>
        <w:tc>
          <w:tcPr>
            <w:tcW w:w="1360" w:type="dxa"/>
            <w:tcBorders>
              <w:top w:val="nil"/>
              <w:left w:val="nil"/>
              <w:bottom w:val="single" w:sz="4" w:space="0" w:color="auto"/>
              <w:right w:val="single" w:sz="4" w:space="0" w:color="auto"/>
            </w:tcBorders>
            <w:shd w:val="clear" w:color="000000" w:fill="D9D9D9"/>
            <w:hideMark/>
          </w:tcPr>
          <w:p w14:paraId="047A466A"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61EBF752"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5.1.5</w:t>
            </w:r>
          </w:p>
        </w:tc>
      </w:tr>
      <w:tr w:rsidR="00973D1B" w:rsidRPr="002C579D" w14:paraId="781E3213"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center"/>
            <w:hideMark/>
          </w:tcPr>
          <w:p w14:paraId="0F9CD237" w14:textId="13D39E9F"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R1-1800110</w:t>
            </w:r>
          </w:p>
        </w:tc>
        <w:tc>
          <w:tcPr>
            <w:tcW w:w="1180" w:type="dxa"/>
            <w:tcBorders>
              <w:top w:val="nil"/>
              <w:left w:val="nil"/>
              <w:bottom w:val="single" w:sz="4" w:space="0" w:color="auto"/>
              <w:right w:val="single" w:sz="4" w:space="0" w:color="auto"/>
            </w:tcBorders>
            <w:shd w:val="clear" w:color="000000" w:fill="D9D9D9"/>
            <w:hideMark/>
          </w:tcPr>
          <w:p w14:paraId="0E393D42"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ZTE</w:t>
            </w:r>
          </w:p>
        </w:tc>
        <w:tc>
          <w:tcPr>
            <w:tcW w:w="4320" w:type="dxa"/>
            <w:tcBorders>
              <w:top w:val="nil"/>
              <w:left w:val="nil"/>
              <w:bottom w:val="single" w:sz="4" w:space="0" w:color="auto"/>
              <w:right w:val="single" w:sz="4" w:space="0" w:color="auto"/>
            </w:tcBorders>
            <w:shd w:val="clear" w:color="000000" w:fill="D9D9D9"/>
            <w:hideMark/>
          </w:tcPr>
          <w:p w14:paraId="44EFC612"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DL beam indication</w:t>
            </w:r>
          </w:p>
        </w:tc>
        <w:tc>
          <w:tcPr>
            <w:tcW w:w="4380" w:type="dxa"/>
            <w:tcBorders>
              <w:top w:val="nil"/>
              <w:left w:val="nil"/>
              <w:bottom w:val="single" w:sz="4" w:space="0" w:color="auto"/>
              <w:right w:val="single" w:sz="4" w:space="0" w:color="auto"/>
            </w:tcBorders>
            <w:shd w:val="clear" w:color="000000" w:fill="D9D9D9"/>
            <w:hideMark/>
          </w:tcPr>
          <w:p w14:paraId="3D8E8A1D"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Agreement #2 not correctly captured</w:t>
            </w:r>
          </w:p>
        </w:tc>
        <w:tc>
          <w:tcPr>
            <w:tcW w:w="1360" w:type="dxa"/>
            <w:tcBorders>
              <w:top w:val="nil"/>
              <w:left w:val="nil"/>
              <w:bottom w:val="single" w:sz="4" w:space="0" w:color="auto"/>
              <w:right w:val="single" w:sz="4" w:space="0" w:color="auto"/>
            </w:tcBorders>
            <w:shd w:val="clear" w:color="000000" w:fill="D9D9D9"/>
            <w:hideMark/>
          </w:tcPr>
          <w:p w14:paraId="205551C1"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042E1D14"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5.1.5</w:t>
            </w:r>
          </w:p>
        </w:tc>
      </w:tr>
      <w:tr w:rsidR="00973D1B" w:rsidRPr="002C579D" w14:paraId="4B5AD5D1"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center"/>
            <w:hideMark/>
          </w:tcPr>
          <w:p w14:paraId="3973EA61" w14:textId="471A1B63"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lastRenderedPageBreak/>
              <w:t>R1-1800110</w:t>
            </w:r>
          </w:p>
        </w:tc>
        <w:tc>
          <w:tcPr>
            <w:tcW w:w="1180" w:type="dxa"/>
            <w:tcBorders>
              <w:top w:val="nil"/>
              <w:left w:val="nil"/>
              <w:bottom w:val="single" w:sz="4" w:space="0" w:color="auto"/>
              <w:right w:val="single" w:sz="4" w:space="0" w:color="auto"/>
            </w:tcBorders>
            <w:shd w:val="clear" w:color="000000" w:fill="D9D9D9"/>
            <w:hideMark/>
          </w:tcPr>
          <w:p w14:paraId="2EF35F3C"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ZTE</w:t>
            </w:r>
          </w:p>
        </w:tc>
        <w:tc>
          <w:tcPr>
            <w:tcW w:w="4320" w:type="dxa"/>
            <w:tcBorders>
              <w:top w:val="nil"/>
              <w:left w:val="nil"/>
              <w:bottom w:val="single" w:sz="4" w:space="0" w:color="auto"/>
              <w:right w:val="single" w:sz="4" w:space="0" w:color="auto"/>
            </w:tcBorders>
            <w:shd w:val="clear" w:color="000000" w:fill="D9D9D9"/>
            <w:hideMark/>
          </w:tcPr>
          <w:p w14:paraId="49994C06"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UE capability</w:t>
            </w:r>
          </w:p>
        </w:tc>
        <w:tc>
          <w:tcPr>
            <w:tcW w:w="4380" w:type="dxa"/>
            <w:tcBorders>
              <w:top w:val="nil"/>
              <w:left w:val="nil"/>
              <w:bottom w:val="single" w:sz="4" w:space="0" w:color="auto"/>
              <w:right w:val="single" w:sz="4" w:space="0" w:color="auto"/>
            </w:tcBorders>
            <w:shd w:val="clear" w:color="000000" w:fill="D9D9D9"/>
            <w:hideMark/>
          </w:tcPr>
          <w:p w14:paraId="19066A1C"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Scheduling offset threshold</w:t>
            </w:r>
          </w:p>
        </w:tc>
        <w:tc>
          <w:tcPr>
            <w:tcW w:w="1360" w:type="dxa"/>
            <w:tcBorders>
              <w:top w:val="nil"/>
              <w:left w:val="nil"/>
              <w:bottom w:val="single" w:sz="4" w:space="0" w:color="auto"/>
              <w:right w:val="single" w:sz="4" w:space="0" w:color="auto"/>
            </w:tcBorders>
            <w:shd w:val="clear" w:color="000000" w:fill="D9D9D9"/>
            <w:hideMark/>
          </w:tcPr>
          <w:p w14:paraId="2621652D"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6A33413E"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5.1.5</w:t>
            </w:r>
          </w:p>
        </w:tc>
      </w:tr>
      <w:tr w:rsidR="00973D1B" w:rsidRPr="002C579D" w14:paraId="1313A790" w14:textId="77777777" w:rsidTr="002C579D">
        <w:trPr>
          <w:trHeight w:val="216"/>
        </w:trPr>
        <w:tc>
          <w:tcPr>
            <w:tcW w:w="1220" w:type="dxa"/>
            <w:tcBorders>
              <w:top w:val="nil"/>
              <w:left w:val="single" w:sz="8" w:space="0" w:color="auto"/>
              <w:bottom w:val="single" w:sz="4" w:space="0" w:color="auto"/>
              <w:right w:val="single" w:sz="4" w:space="0" w:color="auto"/>
            </w:tcBorders>
            <w:shd w:val="clear" w:color="auto" w:fill="auto"/>
            <w:noWrap/>
            <w:hideMark/>
          </w:tcPr>
          <w:p w14:paraId="76C99B26" w14:textId="7CB27992"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R1-1800159</w:t>
            </w:r>
          </w:p>
        </w:tc>
        <w:tc>
          <w:tcPr>
            <w:tcW w:w="1180" w:type="dxa"/>
            <w:tcBorders>
              <w:top w:val="nil"/>
              <w:left w:val="nil"/>
              <w:bottom w:val="single" w:sz="4" w:space="0" w:color="auto"/>
              <w:right w:val="single" w:sz="4" w:space="0" w:color="auto"/>
            </w:tcBorders>
            <w:shd w:val="clear" w:color="auto" w:fill="auto"/>
            <w:hideMark/>
          </w:tcPr>
          <w:p w14:paraId="2F51F40C"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proofErr w:type="spellStart"/>
            <w:r w:rsidRPr="002C579D">
              <w:rPr>
                <w:rFonts w:asciiTheme="minorHAnsi" w:hAnsiTheme="minorHAnsi"/>
                <w:color w:val="000000"/>
                <w:sz w:val="16"/>
                <w:szCs w:val="16"/>
                <w:lang w:val="en-US" w:eastAsia="en-US"/>
              </w:rPr>
              <w:t>MediaTek</w:t>
            </w:r>
            <w:proofErr w:type="spellEnd"/>
          </w:p>
        </w:tc>
        <w:tc>
          <w:tcPr>
            <w:tcW w:w="4320" w:type="dxa"/>
            <w:tcBorders>
              <w:top w:val="nil"/>
              <w:left w:val="nil"/>
              <w:bottom w:val="single" w:sz="4" w:space="0" w:color="auto"/>
              <w:right w:val="single" w:sz="4" w:space="0" w:color="auto"/>
            </w:tcBorders>
            <w:shd w:val="clear" w:color="auto" w:fill="auto"/>
            <w:hideMark/>
          </w:tcPr>
          <w:p w14:paraId="760C31EB"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Reception of CSI-RS</w:t>
            </w:r>
          </w:p>
        </w:tc>
        <w:tc>
          <w:tcPr>
            <w:tcW w:w="4380" w:type="dxa"/>
            <w:tcBorders>
              <w:top w:val="nil"/>
              <w:left w:val="nil"/>
              <w:bottom w:val="single" w:sz="4" w:space="0" w:color="auto"/>
              <w:right w:val="single" w:sz="4" w:space="0" w:color="auto"/>
            </w:tcBorders>
            <w:shd w:val="clear" w:color="auto" w:fill="auto"/>
            <w:hideMark/>
          </w:tcPr>
          <w:p w14:paraId="4CE4021A"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Reception of CSI-RS and PDSCH</w:t>
            </w:r>
          </w:p>
        </w:tc>
        <w:tc>
          <w:tcPr>
            <w:tcW w:w="1360" w:type="dxa"/>
            <w:tcBorders>
              <w:top w:val="nil"/>
              <w:left w:val="nil"/>
              <w:bottom w:val="single" w:sz="4" w:space="0" w:color="auto"/>
              <w:right w:val="single" w:sz="4" w:space="0" w:color="auto"/>
            </w:tcBorders>
            <w:shd w:val="clear" w:color="auto" w:fill="auto"/>
            <w:hideMark/>
          </w:tcPr>
          <w:p w14:paraId="6231717D"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auto" w:fill="auto"/>
            <w:hideMark/>
          </w:tcPr>
          <w:p w14:paraId="1DDBC4A5"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5.1.6.1.2</w:t>
            </w:r>
          </w:p>
        </w:tc>
      </w:tr>
      <w:tr w:rsidR="00973D1B" w:rsidRPr="002C579D" w14:paraId="6382AB3F"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hideMark/>
          </w:tcPr>
          <w:p w14:paraId="74100CEF" w14:textId="6FCD4B87"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R1-1800498</w:t>
            </w:r>
          </w:p>
        </w:tc>
        <w:tc>
          <w:tcPr>
            <w:tcW w:w="1180" w:type="dxa"/>
            <w:tcBorders>
              <w:top w:val="nil"/>
              <w:left w:val="nil"/>
              <w:bottom w:val="single" w:sz="4" w:space="0" w:color="auto"/>
              <w:right w:val="single" w:sz="4" w:space="0" w:color="auto"/>
            </w:tcBorders>
            <w:shd w:val="clear" w:color="000000" w:fill="D9D9D9"/>
            <w:hideMark/>
          </w:tcPr>
          <w:p w14:paraId="26CD33EC"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OPPO</w:t>
            </w:r>
          </w:p>
        </w:tc>
        <w:tc>
          <w:tcPr>
            <w:tcW w:w="4320" w:type="dxa"/>
            <w:tcBorders>
              <w:top w:val="nil"/>
              <w:left w:val="nil"/>
              <w:bottom w:val="single" w:sz="4" w:space="0" w:color="auto"/>
              <w:right w:val="single" w:sz="4" w:space="0" w:color="auto"/>
            </w:tcBorders>
            <w:shd w:val="clear" w:color="000000" w:fill="D9D9D9"/>
            <w:hideMark/>
          </w:tcPr>
          <w:p w14:paraId="294DAB65"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Reception of CSI-RS</w:t>
            </w:r>
          </w:p>
        </w:tc>
        <w:tc>
          <w:tcPr>
            <w:tcW w:w="4380" w:type="dxa"/>
            <w:tcBorders>
              <w:top w:val="nil"/>
              <w:left w:val="nil"/>
              <w:bottom w:val="single" w:sz="4" w:space="0" w:color="auto"/>
              <w:right w:val="single" w:sz="4" w:space="0" w:color="auto"/>
            </w:tcBorders>
            <w:shd w:val="clear" w:color="000000" w:fill="D9D9D9"/>
            <w:hideMark/>
          </w:tcPr>
          <w:p w14:paraId="23B5002F"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Reception of CSI-RS for CSI-RS-</w:t>
            </w:r>
            <w:proofErr w:type="spellStart"/>
            <w:r w:rsidRPr="002C579D">
              <w:rPr>
                <w:rFonts w:asciiTheme="minorHAnsi" w:hAnsiTheme="minorHAnsi"/>
                <w:color w:val="000000"/>
                <w:sz w:val="16"/>
                <w:szCs w:val="16"/>
                <w:lang w:val="en-US" w:eastAsia="en-US"/>
              </w:rPr>
              <w:t>ResourceRep</w:t>
            </w:r>
            <w:proofErr w:type="spellEnd"/>
            <w:r w:rsidRPr="002C579D">
              <w:rPr>
                <w:rFonts w:asciiTheme="minorHAnsi" w:hAnsiTheme="minorHAnsi"/>
                <w:color w:val="000000"/>
                <w:sz w:val="16"/>
                <w:szCs w:val="16"/>
                <w:lang w:val="en-US" w:eastAsia="en-US"/>
              </w:rPr>
              <w:t>="OFF"</w:t>
            </w:r>
          </w:p>
        </w:tc>
        <w:tc>
          <w:tcPr>
            <w:tcW w:w="1360" w:type="dxa"/>
            <w:tcBorders>
              <w:top w:val="nil"/>
              <w:left w:val="nil"/>
              <w:bottom w:val="single" w:sz="4" w:space="0" w:color="auto"/>
              <w:right w:val="single" w:sz="4" w:space="0" w:color="auto"/>
            </w:tcBorders>
            <w:shd w:val="clear" w:color="000000" w:fill="D9D9D9"/>
            <w:hideMark/>
          </w:tcPr>
          <w:p w14:paraId="71D4D148"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0C6D9891"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5.1.6.2</w:t>
            </w:r>
          </w:p>
        </w:tc>
      </w:tr>
      <w:tr w:rsidR="00973D1B" w:rsidRPr="002C579D" w14:paraId="05DE3046" w14:textId="77777777" w:rsidTr="002C579D">
        <w:trPr>
          <w:trHeight w:val="216"/>
        </w:trPr>
        <w:tc>
          <w:tcPr>
            <w:tcW w:w="1220" w:type="dxa"/>
            <w:tcBorders>
              <w:top w:val="nil"/>
              <w:left w:val="single" w:sz="8" w:space="0" w:color="auto"/>
              <w:bottom w:val="single" w:sz="4" w:space="0" w:color="auto"/>
              <w:right w:val="single" w:sz="4" w:space="0" w:color="auto"/>
            </w:tcBorders>
            <w:shd w:val="clear" w:color="auto" w:fill="auto"/>
            <w:noWrap/>
            <w:vAlign w:val="center"/>
            <w:hideMark/>
          </w:tcPr>
          <w:p w14:paraId="26F06F0C" w14:textId="1DEF28CF"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R1-1800660</w:t>
            </w:r>
          </w:p>
        </w:tc>
        <w:tc>
          <w:tcPr>
            <w:tcW w:w="1180" w:type="dxa"/>
            <w:tcBorders>
              <w:top w:val="nil"/>
              <w:left w:val="nil"/>
              <w:bottom w:val="single" w:sz="4" w:space="0" w:color="auto"/>
              <w:right w:val="single" w:sz="4" w:space="0" w:color="auto"/>
            </w:tcBorders>
            <w:shd w:val="clear" w:color="auto" w:fill="auto"/>
            <w:hideMark/>
          </w:tcPr>
          <w:p w14:paraId="70E0ED0F"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Docomo</w:t>
            </w:r>
          </w:p>
        </w:tc>
        <w:tc>
          <w:tcPr>
            <w:tcW w:w="4320" w:type="dxa"/>
            <w:tcBorders>
              <w:top w:val="nil"/>
              <w:left w:val="nil"/>
              <w:bottom w:val="single" w:sz="4" w:space="0" w:color="auto"/>
              <w:right w:val="single" w:sz="4" w:space="0" w:color="auto"/>
            </w:tcBorders>
            <w:shd w:val="clear" w:color="auto" w:fill="auto"/>
            <w:hideMark/>
          </w:tcPr>
          <w:p w14:paraId="7FF34025"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MAC-CE timing</w:t>
            </w:r>
          </w:p>
        </w:tc>
        <w:tc>
          <w:tcPr>
            <w:tcW w:w="4380" w:type="dxa"/>
            <w:tcBorders>
              <w:top w:val="nil"/>
              <w:left w:val="nil"/>
              <w:bottom w:val="single" w:sz="4" w:space="0" w:color="auto"/>
              <w:right w:val="single" w:sz="4" w:space="0" w:color="auto"/>
            </w:tcBorders>
            <w:shd w:val="clear" w:color="auto" w:fill="auto"/>
            <w:hideMark/>
          </w:tcPr>
          <w:p w14:paraId="31F0DAA1"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Activation/deactivation timing for PDSCH undefined</w:t>
            </w:r>
          </w:p>
        </w:tc>
        <w:tc>
          <w:tcPr>
            <w:tcW w:w="1360" w:type="dxa"/>
            <w:tcBorders>
              <w:top w:val="nil"/>
              <w:left w:val="nil"/>
              <w:bottom w:val="single" w:sz="4" w:space="0" w:color="auto"/>
              <w:right w:val="single" w:sz="4" w:space="0" w:color="auto"/>
            </w:tcBorders>
            <w:shd w:val="clear" w:color="auto" w:fill="auto"/>
            <w:hideMark/>
          </w:tcPr>
          <w:p w14:paraId="000030D4"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auto" w:fill="auto"/>
            <w:hideMark/>
          </w:tcPr>
          <w:p w14:paraId="225DDC6E"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5.1.7</w:t>
            </w:r>
          </w:p>
        </w:tc>
      </w:tr>
      <w:tr w:rsidR="00973D1B" w:rsidRPr="002C579D" w14:paraId="018FE2A4"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hideMark/>
          </w:tcPr>
          <w:p w14:paraId="37EE9332" w14:textId="7F17230A"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R1-1800498</w:t>
            </w:r>
          </w:p>
        </w:tc>
        <w:tc>
          <w:tcPr>
            <w:tcW w:w="1180" w:type="dxa"/>
            <w:tcBorders>
              <w:top w:val="nil"/>
              <w:left w:val="nil"/>
              <w:bottom w:val="single" w:sz="4" w:space="0" w:color="auto"/>
              <w:right w:val="single" w:sz="4" w:space="0" w:color="auto"/>
            </w:tcBorders>
            <w:shd w:val="clear" w:color="000000" w:fill="D9D9D9"/>
            <w:hideMark/>
          </w:tcPr>
          <w:p w14:paraId="5691AD9E"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OPPO</w:t>
            </w:r>
          </w:p>
        </w:tc>
        <w:tc>
          <w:tcPr>
            <w:tcW w:w="4320" w:type="dxa"/>
            <w:tcBorders>
              <w:top w:val="nil"/>
              <w:left w:val="nil"/>
              <w:bottom w:val="single" w:sz="4" w:space="0" w:color="auto"/>
              <w:right w:val="single" w:sz="4" w:space="0" w:color="auto"/>
            </w:tcBorders>
            <w:shd w:val="clear" w:color="000000" w:fill="D9D9D9"/>
            <w:hideMark/>
          </w:tcPr>
          <w:p w14:paraId="2DBE790A"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CSI &amp; BM framework</w:t>
            </w:r>
          </w:p>
        </w:tc>
        <w:tc>
          <w:tcPr>
            <w:tcW w:w="4380" w:type="dxa"/>
            <w:tcBorders>
              <w:top w:val="nil"/>
              <w:left w:val="nil"/>
              <w:bottom w:val="single" w:sz="4" w:space="0" w:color="auto"/>
              <w:right w:val="single" w:sz="4" w:space="0" w:color="auto"/>
            </w:tcBorders>
            <w:shd w:val="clear" w:color="000000" w:fill="D9D9D9"/>
            <w:hideMark/>
          </w:tcPr>
          <w:p w14:paraId="7F364B06"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Joint SSB, CSI-RS beam reporting</w:t>
            </w:r>
          </w:p>
        </w:tc>
        <w:tc>
          <w:tcPr>
            <w:tcW w:w="1360" w:type="dxa"/>
            <w:tcBorders>
              <w:top w:val="nil"/>
              <w:left w:val="nil"/>
              <w:bottom w:val="single" w:sz="4" w:space="0" w:color="auto"/>
              <w:right w:val="single" w:sz="4" w:space="0" w:color="auto"/>
            </w:tcBorders>
            <w:shd w:val="clear" w:color="000000" w:fill="D9D9D9"/>
            <w:hideMark/>
          </w:tcPr>
          <w:p w14:paraId="60E90F94"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680777E8"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 xml:space="preserve">5.2.1, 5.2.1.1, 5.2.1.4 </w:t>
            </w:r>
          </w:p>
        </w:tc>
      </w:tr>
      <w:tr w:rsidR="00973D1B" w:rsidRPr="002C579D" w14:paraId="64524574" w14:textId="77777777" w:rsidTr="002C579D">
        <w:trPr>
          <w:trHeight w:val="216"/>
        </w:trPr>
        <w:tc>
          <w:tcPr>
            <w:tcW w:w="1220" w:type="dxa"/>
            <w:tcBorders>
              <w:top w:val="nil"/>
              <w:left w:val="single" w:sz="8" w:space="0" w:color="auto"/>
              <w:bottom w:val="single" w:sz="4" w:space="0" w:color="auto"/>
              <w:right w:val="single" w:sz="4" w:space="0" w:color="auto"/>
            </w:tcBorders>
            <w:shd w:val="clear" w:color="auto" w:fill="auto"/>
            <w:noWrap/>
            <w:vAlign w:val="center"/>
            <w:hideMark/>
          </w:tcPr>
          <w:p w14:paraId="07F65B83" w14:textId="077ED7CF"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R1-1800100</w:t>
            </w:r>
          </w:p>
        </w:tc>
        <w:tc>
          <w:tcPr>
            <w:tcW w:w="1180" w:type="dxa"/>
            <w:tcBorders>
              <w:top w:val="nil"/>
              <w:left w:val="nil"/>
              <w:bottom w:val="single" w:sz="4" w:space="0" w:color="auto"/>
              <w:right w:val="single" w:sz="4" w:space="0" w:color="auto"/>
            </w:tcBorders>
            <w:shd w:val="clear" w:color="auto" w:fill="auto"/>
            <w:hideMark/>
          </w:tcPr>
          <w:p w14:paraId="11217155"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proofErr w:type="spellStart"/>
            <w:r w:rsidRPr="002C579D">
              <w:rPr>
                <w:rFonts w:asciiTheme="minorHAnsi" w:hAnsiTheme="minorHAnsi"/>
                <w:color w:val="000000"/>
                <w:sz w:val="16"/>
                <w:szCs w:val="16"/>
                <w:lang w:val="en-US" w:eastAsia="en-US"/>
              </w:rPr>
              <w:t>Huwaei</w:t>
            </w:r>
            <w:proofErr w:type="spellEnd"/>
          </w:p>
        </w:tc>
        <w:tc>
          <w:tcPr>
            <w:tcW w:w="4320" w:type="dxa"/>
            <w:tcBorders>
              <w:top w:val="nil"/>
              <w:left w:val="nil"/>
              <w:bottom w:val="single" w:sz="4" w:space="0" w:color="auto"/>
              <w:right w:val="single" w:sz="4" w:space="0" w:color="auto"/>
            </w:tcBorders>
            <w:shd w:val="clear" w:color="auto" w:fill="auto"/>
            <w:hideMark/>
          </w:tcPr>
          <w:p w14:paraId="4B058675"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CSI &amp; BM framework</w:t>
            </w:r>
          </w:p>
        </w:tc>
        <w:tc>
          <w:tcPr>
            <w:tcW w:w="4380" w:type="dxa"/>
            <w:tcBorders>
              <w:top w:val="nil"/>
              <w:left w:val="nil"/>
              <w:bottom w:val="single" w:sz="4" w:space="0" w:color="auto"/>
              <w:right w:val="single" w:sz="4" w:space="0" w:color="auto"/>
            </w:tcBorders>
            <w:shd w:val="clear" w:color="auto" w:fill="auto"/>
            <w:hideMark/>
          </w:tcPr>
          <w:p w14:paraId="2E041E05"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Agreement #5 not correctly captured</w:t>
            </w:r>
          </w:p>
        </w:tc>
        <w:tc>
          <w:tcPr>
            <w:tcW w:w="1360" w:type="dxa"/>
            <w:tcBorders>
              <w:top w:val="nil"/>
              <w:left w:val="nil"/>
              <w:bottom w:val="single" w:sz="4" w:space="0" w:color="auto"/>
              <w:right w:val="single" w:sz="4" w:space="0" w:color="auto"/>
            </w:tcBorders>
            <w:shd w:val="clear" w:color="auto" w:fill="auto"/>
            <w:hideMark/>
          </w:tcPr>
          <w:p w14:paraId="6F006A00"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auto" w:fill="auto"/>
            <w:hideMark/>
          </w:tcPr>
          <w:p w14:paraId="7DEF6713"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5.2.1.2</w:t>
            </w:r>
          </w:p>
        </w:tc>
      </w:tr>
      <w:tr w:rsidR="00973D1B" w:rsidRPr="002C579D" w14:paraId="1DAF5199" w14:textId="77777777" w:rsidTr="002C579D">
        <w:trPr>
          <w:trHeight w:val="216"/>
        </w:trPr>
        <w:tc>
          <w:tcPr>
            <w:tcW w:w="1220" w:type="dxa"/>
            <w:tcBorders>
              <w:top w:val="nil"/>
              <w:left w:val="single" w:sz="8" w:space="0" w:color="auto"/>
              <w:bottom w:val="single" w:sz="4" w:space="0" w:color="auto"/>
              <w:right w:val="single" w:sz="4" w:space="0" w:color="auto"/>
            </w:tcBorders>
            <w:shd w:val="clear" w:color="auto" w:fill="auto"/>
            <w:noWrap/>
            <w:vAlign w:val="center"/>
            <w:hideMark/>
          </w:tcPr>
          <w:p w14:paraId="433F4F3A" w14:textId="547DC7AA"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R1-1800110</w:t>
            </w:r>
          </w:p>
        </w:tc>
        <w:tc>
          <w:tcPr>
            <w:tcW w:w="1180" w:type="dxa"/>
            <w:tcBorders>
              <w:top w:val="nil"/>
              <w:left w:val="nil"/>
              <w:bottom w:val="single" w:sz="4" w:space="0" w:color="auto"/>
              <w:right w:val="single" w:sz="4" w:space="0" w:color="auto"/>
            </w:tcBorders>
            <w:shd w:val="clear" w:color="auto" w:fill="auto"/>
            <w:hideMark/>
          </w:tcPr>
          <w:p w14:paraId="6ECF46F9"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ZTE</w:t>
            </w:r>
          </w:p>
        </w:tc>
        <w:tc>
          <w:tcPr>
            <w:tcW w:w="4320" w:type="dxa"/>
            <w:tcBorders>
              <w:top w:val="nil"/>
              <w:left w:val="nil"/>
              <w:bottom w:val="single" w:sz="4" w:space="0" w:color="auto"/>
              <w:right w:val="single" w:sz="4" w:space="0" w:color="auto"/>
            </w:tcBorders>
            <w:shd w:val="clear" w:color="auto" w:fill="auto"/>
            <w:hideMark/>
          </w:tcPr>
          <w:p w14:paraId="20E2B5AC"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CSI &amp; BM framework</w:t>
            </w:r>
          </w:p>
        </w:tc>
        <w:tc>
          <w:tcPr>
            <w:tcW w:w="4380" w:type="dxa"/>
            <w:tcBorders>
              <w:top w:val="nil"/>
              <w:left w:val="nil"/>
              <w:bottom w:val="single" w:sz="4" w:space="0" w:color="auto"/>
              <w:right w:val="single" w:sz="4" w:space="0" w:color="auto"/>
            </w:tcBorders>
            <w:shd w:val="clear" w:color="auto" w:fill="auto"/>
            <w:hideMark/>
          </w:tcPr>
          <w:p w14:paraId="34603AA9"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Editorial TP</w:t>
            </w:r>
          </w:p>
        </w:tc>
        <w:tc>
          <w:tcPr>
            <w:tcW w:w="1360" w:type="dxa"/>
            <w:tcBorders>
              <w:top w:val="nil"/>
              <w:left w:val="nil"/>
              <w:bottom w:val="single" w:sz="4" w:space="0" w:color="auto"/>
              <w:right w:val="single" w:sz="4" w:space="0" w:color="auto"/>
            </w:tcBorders>
            <w:shd w:val="clear" w:color="auto" w:fill="auto"/>
            <w:hideMark/>
          </w:tcPr>
          <w:p w14:paraId="6AB7418E"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auto" w:fill="auto"/>
            <w:hideMark/>
          </w:tcPr>
          <w:p w14:paraId="135ACE76"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5.2.1.2</w:t>
            </w:r>
          </w:p>
        </w:tc>
      </w:tr>
      <w:tr w:rsidR="00973D1B" w:rsidRPr="002C579D" w14:paraId="72A1E7FC"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center"/>
            <w:hideMark/>
          </w:tcPr>
          <w:p w14:paraId="69DA0E0E" w14:textId="0C2BE612"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R1-1800100</w:t>
            </w:r>
          </w:p>
        </w:tc>
        <w:tc>
          <w:tcPr>
            <w:tcW w:w="1180" w:type="dxa"/>
            <w:tcBorders>
              <w:top w:val="nil"/>
              <w:left w:val="nil"/>
              <w:bottom w:val="single" w:sz="4" w:space="0" w:color="auto"/>
              <w:right w:val="single" w:sz="4" w:space="0" w:color="auto"/>
            </w:tcBorders>
            <w:shd w:val="clear" w:color="000000" w:fill="D9D9D9"/>
            <w:hideMark/>
          </w:tcPr>
          <w:p w14:paraId="6D5A271E"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proofErr w:type="spellStart"/>
            <w:r w:rsidRPr="002C579D">
              <w:rPr>
                <w:rFonts w:asciiTheme="minorHAnsi" w:hAnsiTheme="minorHAnsi"/>
                <w:color w:val="000000"/>
                <w:sz w:val="16"/>
                <w:szCs w:val="16"/>
                <w:lang w:val="en-US" w:eastAsia="en-US"/>
              </w:rPr>
              <w:t>Huwaei</w:t>
            </w:r>
            <w:proofErr w:type="spellEnd"/>
          </w:p>
        </w:tc>
        <w:tc>
          <w:tcPr>
            <w:tcW w:w="4320" w:type="dxa"/>
            <w:tcBorders>
              <w:top w:val="nil"/>
              <w:left w:val="nil"/>
              <w:bottom w:val="single" w:sz="4" w:space="0" w:color="auto"/>
              <w:right w:val="single" w:sz="4" w:space="0" w:color="auto"/>
            </w:tcBorders>
            <w:shd w:val="clear" w:color="000000" w:fill="D9D9D9"/>
            <w:hideMark/>
          </w:tcPr>
          <w:p w14:paraId="369BA9A7"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Beam reporting</w:t>
            </w:r>
          </w:p>
        </w:tc>
        <w:tc>
          <w:tcPr>
            <w:tcW w:w="4380" w:type="dxa"/>
            <w:tcBorders>
              <w:top w:val="nil"/>
              <w:left w:val="nil"/>
              <w:bottom w:val="single" w:sz="4" w:space="0" w:color="auto"/>
              <w:right w:val="single" w:sz="4" w:space="0" w:color="auto"/>
            </w:tcBorders>
            <w:shd w:val="clear" w:color="000000" w:fill="D9D9D9"/>
            <w:hideMark/>
          </w:tcPr>
          <w:p w14:paraId="0CC839F9"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Agreement #4 not captured</w:t>
            </w:r>
          </w:p>
        </w:tc>
        <w:tc>
          <w:tcPr>
            <w:tcW w:w="1360" w:type="dxa"/>
            <w:tcBorders>
              <w:top w:val="nil"/>
              <w:left w:val="nil"/>
              <w:bottom w:val="single" w:sz="4" w:space="0" w:color="auto"/>
              <w:right w:val="single" w:sz="4" w:space="0" w:color="auto"/>
            </w:tcBorders>
            <w:shd w:val="clear" w:color="000000" w:fill="D9D9D9"/>
            <w:hideMark/>
          </w:tcPr>
          <w:p w14:paraId="7864B1D0"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4A0666C8"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5.2.1.4</w:t>
            </w:r>
          </w:p>
        </w:tc>
      </w:tr>
      <w:tr w:rsidR="00973D1B" w:rsidRPr="002C579D" w14:paraId="2EEAF1F2"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bottom"/>
            <w:hideMark/>
          </w:tcPr>
          <w:p w14:paraId="484DACE0" w14:textId="4A1881BD"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R1-1800159</w:t>
            </w:r>
          </w:p>
        </w:tc>
        <w:tc>
          <w:tcPr>
            <w:tcW w:w="1180" w:type="dxa"/>
            <w:tcBorders>
              <w:top w:val="nil"/>
              <w:left w:val="nil"/>
              <w:bottom w:val="single" w:sz="4" w:space="0" w:color="auto"/>
              <w:right w:val="single" w:sz="4" w:space="0" w:color="auto"/>
            </w:tcBorders>
            <w:shd w:val="clear" w:color="000000" w:fill="D9D9D9"/>
            <w:hideMark/>
          </w:tcPr>
          <w:p w14:paraId="66EDF0CE"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proofErr w:type="spellStart"/>
            <w:r w:rsidRPr="002C579D">
              <w:rPr>
                <w:rFonts w:asciiTheme="minorHAnsi" w:hAnsiTheme="minorHAnsi"/>
                <w:color w:val="000000"/>
                <w:sz w:val="16"/>
                <w:szCs w:val="16"/>
                <w:lang w:val="en-US" w:eastAsia="en-US"/>
              </w:rPr>
              <w:t>MediaTek</w:t>
            </w:r>
            <w:proofErr w:type="spellEnd"/>
          </w:p>
        </w:tc>
        <w:tc>
          <w:tcPr>
            <w:tcW w:w="4320" w:type="dxa"/>
            <w:tcBorders>
              <w:top w:val="nil"/>
              <w:left w:val="nil"/>
              <w:bottom w:val="single" w:sz="4" w:space="0" w:color="auto"/>
              <w:right w:val="single" w:sz="4" w:space="0" w:color="auto"/>
            </w:tcBorders>
            <w:shd w:val="clear" w:color="000000" w:fill="D9D9D9"/>
            <w:hideMark/>
          </w:tcPr>
          <w:p w14:paraId="513BEA19"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Beam reporting</w:t>
            </w:r>
          </w:p>
        </w:tc>
        <w:tc>
          <w:tcPr>
            <w:tcW w:w="4380" w:type="dxa"/>
            <w:tcBorders>
              <w:top w:val="nil"/>
              <w:left w:val="nil"/>
              <w:bottom w:val="single" w:sz="4" w:space="0" w:color="auto"/>
              <w:right w:val="single" w:sz="4" w:space="0" w:color="auto"/>
            </w:tcBorders>
            <w:shd w:val="clear" w:color="000000" w:fill="D9D9D9"/>
            <w:hideMark/>
          </w:tcPr>
          <w:p w14:paraId="0290A411"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Clarification on allowed reporting quantities</w:t>
            </w:r>
          </w:p>
        </w:tc>
        <w:tc>
          <w:tcPr>
            <w:tcW w:w="1360" w:type="dxa"/>
            <w:tcBorders>
              <w:top w:val="nil"/>
              <w:left w:val="nil"/>
              <w:bottom w:val="single" w:sz="4" w:space="0" w:color="auto"/>
              <w:right w:val="single" w:sz="4" w:space="0" w:color="auto"/>
            </w:tcBorders>
            <w:shd w:val="clear" w:color="000000" w:fill="D9D9D9"/>
            <w:hideMark/>
          </w:tcPr>
          <w:p w14:paraId="01F2D1A2"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5B60E2D5"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5.2.1.4</w:t>
            </w:r>
          </w:p>
        </w:tc>
      </w:tr>
      <w:tr w:rsidR="00973D1B" w:rsidRPr="002C579D" w14:paraId="5BA0C4F0"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center"/>
            <w:hideMark/>
          </w:tcPr>
          <w:p w14:paraId="0650AAAF" w14:textId="3405D027"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R1-1800751</w:t>
            </w:r>
          </w:p>
        </w:tc>
        <w:tc>
          <w:tcPr>
            <w:tcW w:w="1180" w:type="dxa"/>
            <w:tcBorders>
              <w:top w:val="nil"/>
              <w:left w:val="nil"/>
              <w:bottom w:val="single" w:sz="4" w:space="0" w:color="auto"/>
              <w:right w:val="single" w:sz="4" w:space="0" w:color="auto"/>
            </w:tcBorders>
            <w:shd w:val="clear" w:color="000000" w:fill="D9D9D9"/>
            <w:hideMark/>
          </w:tcPr>
          <w:p w14:paraId="5FB09FEA"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Nokia</w:t>
            </w:r>
          </w:p>
        </w:tc>
        <w:tc>
          <w:tcPr>
            <w:tcW w:w="4320" w:type="dxa"/>
            <w:tcBorders>
              <w:top w:val="nil"/>
              <w:left w:val="nil"/>
              <w:bottom w:val="single" w:sz="4" w:space="0" w:color="auto"/>
              <w:right w:val="single" w:sz="4" w:space="0" w:color="auto"/>
            </w:tcBorders>
            <w:shd w:val="clear" w:color="000000" w:fill="D9D9D9"/>
            <w:hideMark/>
          </w:tcPr>
          <w:p w14:paraId="15F3B185"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Beam reporting</w:t>
            </w:r>
          </w:p>
        </w:tc>
        <w:tc>
          <w:tcPr>
            <w:tcW w:w="4380" w:type="dxa"/>
            <w:tcBorders>
              <w:top w:val="nil"/>
              <w:left w:val="nil"/>
              <w:bottom w:val="single" w:sz="4" w:space="0" w:color="auto"/>
              <w:right w:val="single" w:sz="4" w:space="0" w:color="auto"/>
            </w:tcBorders>
            <w:shd w:val="clear" w:color="000000" w:fill="D9D9D9"/>
            <w:hideMark/>
          </w:tcPr>
          <w:p w14:paraId="40EE092B"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Details of joint SSB, CSI-RS beam reporting undefined</w:t>
            </w:r>
          </w:p>
        </w:tc>
        <w:tc>
          <w:tcPr>
            <w:tcW w:w="1360" w:type="dxa"/>
            <w:tcBorders>
              <w:top w:val="nil"/>
              <w:left w:val="nil"/>
              <w:bottom w:val="single" w:sz="4" w:space="0" w:color="auto"/>
              <w:right w:val="single" w:sz="4" w:space="0" w:color="auto"/>
            </w:tcBorders>
            <w:shd w:val="clear" w:color="000000" w:fill="D9D9D9"/>
            <w:hideMark/>
          </w:tcPr>
          <w:p w14:paraId="06E285E6"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3B3782C6"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5.2.1.4</w:t>
            </w:r>
          </w:p>
        </w:tc>
      </w:tr>
      <w:tr w:rsidR="00973D1B" w:rsidRPr="002C579D" w14:paraId="24074F43"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center"/>
            <w:hideMark/>
          </w:tcPr>
          <w:p w14:paraId="41B01151" w14:textId="47D6B1F0"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R1-1800751</w:t>
            </w:r>
          </w:p>
        </w:tc>
        <w:tc>
          <w:tcPr>
            <w:tcW w:w="1180" w:type="dxa"/>
            <w:tcBorders>
              <w:top w:val="nil"/>
              <w:left w:val="nil"/>
              <w:bottom w:val="single" w:sz="4" w:space="0" w:color="auto"/>
              <w:right w:val="single" w:sz="4" w:space="0" w:color="auto"/>
            </w:tcBorders>
            <w:shd w:val="clear" w:color="000000" w:fill="D9D9D9"/>
            <w:hideMark/>
          </w:tcPr>
          <w:p w14:paraId="1A951A02"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Nokia</w:t>
            </w:r>
          </w:p>
        </w:tc>
        <w:tc>
          <w:tcPr>
            <w:tcW w:w="4320" w:type="dxa"/>
            <w:tcBorders>
              <w:top w:val="nil"/>
              <w:left w:val="nil"/>
              <w:bottom w:val="single" w:sz="4" w:space="0" w:color="auto"/>
              <w:right w:val="single" w:sz="4" w:space="0" w:color="auto"/>
            </w:tcBorders>
            <w:shd w:val="clear" w:color="000000" w:fill="D9D9D9"/>
            <w:hideMark/>
          </w:tcPr>
          <w:p w14:paraId="65138070"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Beam reporting</w:t>
            </w:r>
          </w:p>
        </w:tc>
        <w:tc>
          <w:tcPr>
            <w:tcW w:w="4380" w:type="dxa"/>
            <w:tcBorders>
              <w:top w:val="nil"/>
              <w:left w:val="nil"/>
              <w:bottom w:val="single" w:sz="4" w:space="0" w:color="auto"/>
              <w:right w:val="single" w:sz="4" w:space="0" w:color="auto"/>
            </w:tcBorders>
            <w:shd w:val="clear" w:color="000000" w:fill="D9D9D9"/>
            <w:hideMark/>
          </w:tcPr>
          <w:p w14:paraId="38332DFE"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Details of joint SSB, CSI-RS beam reporting undefined</w:t>
            </w:r>
          </w:p>
        </w:tc>
        <w:tc>
          <w:tcPr>
            <w:tcW w:w="1360" w:type="dxa"/>
            <w:tcBorders>
              <w:top w:val="nil"/>
              <w:left w:val="nil"/>
              <w:bottom w:val="single" w:sz="4" w:space="0" w:color="auto"/>
              <w:right w:val="single" w:sz="4" w:space="0" w:color="auto"/>
            </w:tcBorders>
            <w:shd w:val="clear" w:color="000000" w:fill="D9D9D9"/>
            <w:hideMark/>
          </w:tcPr>
          <w:p w14:paraId="1E7832EE"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04469D25"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5.2.1.4</w:t>
            </w:r>
          </w:p>
        </w:tc>
      </w:tr>
      <w:tr w:rsidR="00973D1B" w:rsidRPr="002C579D" w14:paraId="68D92B4B"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center"/>
            <w:hideMark/>
          </w:tcPr>
          <w:p w14:paraId="4778875E" w14:textId="427FFB29"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R1-1800751</w:t>
            </w:r>
          </w:p>
        </w:tc>
        <w:tc>
          <w:tcPr>
            <w:tcW w:w="1180" w:type="dxa"/>
            <w:tcBorders>
              <w:top w:val="nil"/>
              <w:left w:val="nil"/>
              <w:bottom w:val="single" w:sz="4" w:space="0" w:color="auto"/>
              <w:right w:val="single" w:sz="4" w:space="0" w:color="auto"/>
            </w:tcBorders>
            <w:shd w:val="clear" w:color="000000" w:fill="D9D9D9"/>
            <w:hideMark/>
          </w:tcPr>
          <w:p w14:paraId="75EE0CAB"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Nokia</w:t>
            </w:r>
          </w:p>
        </w:tc>
        <w:tc>
          <w:tcPr>
            <w:tcW w:w="4320" w:type="dxa"/>
            <w:tcBorders>
              <w:top w:val="nil"/>
              <w:left w:val="nil"/>
              <w:bottom w:val="single" w:sz="4" w:space="0" w:color="auto"/>
              <w:right w:val="single" w:sz="4" w:space="0" w:color="auto"/>
            </w:tcBorders>
            <w:shd w:val="clear" w:color="000000" w:fill="D9D9D9"/>
            <w:hideMark/>
          </w:tcPr>
          <w:p w14:paraId="4868EF10"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Beam reporting</w:t>
            </w:r>
          </w:p>
        </w:tc>
        <w:tc>
          <w:tcPr>
            <w:tcW w:w="4380" w:type="dxa"/>
            <w:tcBorders>
              <w:top w:val="nil"/>
              <w:left w:val="nil"/>
              <w:bottom w:val="single" w:sz="4" w:space="0" w:color="auto"/>
              <w:right w:val="single" w:sz="4" w:space="0" w:color="auto"/>
            </w:tcBorders>
            <w:shd w:val="clear" w:color="000000" w:fill="D9D9D9"/>
            <w:hideMark/>
          </w:tcPr>
          <w:p w14:paraId="7CA804DD"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Details of joint SSB, CSI-RS beam reporting undefined</w:t>
            </w:r>
          </w:p>
        </w:tc>
        <w:tc>
          <w:tcPr>
            <w:tcW w:w="1360" w:type="dxa"/>
            <w:tcBorders>
              <w:top w:val="nil"/>
              <w:left w:val="nil"/>
              <w:bottom w:val="single" w:sz="4" w:space="0" w:color="auto"/>
              <w:right w:val="single" w:sz="4" w:space="0" w:color="auto"/>
            </w:tcBorders>
            <w:shd w:val="clear" w:color="000000" w:fill="D9D9D9"/>
            <w:hideMark/>
          </w:tcPr>
          <w:p w14:paraId="54CF7A23"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368D6143"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5.2.1.4</w:t>
            </w:r>
          </w:p>
        </w:tc>
      </w:tr>
      <w:tr w:rsidR="00973D1B" w:rsidRPr="002C579D" w14:paraId="7F4148CB"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center"/>
            <w:hideMark/>
          </w:tcPr>
          <w:p w14:paraId="6E5EC1EC" w14:textId="4584A5BE"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R1-1800751</w:t>
            </w:r>
          </w:p>
        </w:tc>
        <w:tc>
          <w:tcPr>
            <w:tcW w:w="1180" w:type="dxa"/>
            <w:tcBorders>
              <w:top w:val="nil"/>
              <w:left w:val="nil"/>
              <w:bottom w:val="single" w:sz="4" w:space="0" w:color="auto"/>
              <w:right w:val="single" w:sz="4" w:space="0" w:color="auto"/>
            </w:tcBorders>
            <w:shd w:val="clear" w:color="000000" w:fill="D9D9D9"/>
            <w:hideMark/>
          </w:tcPr>
          <w:p w14:paraId="4442673B"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Nokia</w:t>
            </w:r>
          </w:p>
        </w:tc>
        <w:tc>
          <w:tcPr>
            <w:tcW w:w="4320" w:type="dxa"/>
            <w:tcBorders>
              <w:top w:val="nil"/>
              <w:left w:val="nil"/>
              <w:bottom w:val="single" w:sz="4" w:space="0" w:color="auto"/>
              <w:right w:val="single" w:sz="4" w:space="0" w:color="auto"/>
            </w:tcBorders>
            <w:shd w:val="clear" w:color="000000" w:fill="D9D9D9"/>
            <w:hideMark/>
          </w:tcPr>
          <w:p w14:paraId="427F1CDF"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Beam reporting</w:t>
            </w:r>
          </w:p>
        </w:tc>
        <w:tc>
          <w:tcPr>
            <w:tcW w:w="4380" w:type="dxa"/>
            <w:tcBorders>
              <w:top w:val="nil"/>
              <w:left w:val="nil"/>
              <w:bottom w:val="single" w:sz="4" w:space="0" w:color="auto"/>
              <w:right w:val="single" w:sz="4" w:space="0" w:color="auto"/>
            </w:tcBorders>
            <w:shd w:val="clear" w:color="000000" w:fill="D9D9D9"/>
            <w:hideMark/>
          </w:tcPr>
          <w:p w14:paraId="21837A12"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Details of joint SSB, CSI-RS beam reporting undefined</w:t>
            </w:r>
          </w:p>
        </w:tc>
        <w:tc>
          <w:tcPr>
            <w:tcW w:w="1360" w:type="dxa"/>
            <w:tcBorders>
              <w:top w:val="nil"/>
              <w:left w:val="nil"/>
              <w:bottom w:val="single" w:sz="4" w:space="0" w:color="auto"/>
              <w:right w:val="single" w:sz="4" w:space="0" w:color="auto"/>
            </w:tcBorders>
            <w:shd w:val="clear" w:color="000000" w:fill="D9D9D9"/>
            <w:hideMark/>
          </w:tcPr>
          <w:p w14:paraId="4BEEBCF6"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20D3FA97"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5.2.1.4</w:t>
            </w:r>
          </w:p>
        </w:tc>
      </w:tr>
      <w:tr w:rsidR="00973D1B" w:rsidRPr="002C579D" w14:paraId="1D93CBD2"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center"/>
            <w:hideMark/>
          </w:tcPr>
          <w:p w14:paraId="0692A111" w14:textId="5853F482"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R1-1800751</w:t>
            </w:r>
          </w:p>
        </w:tc>
        <w:tc>
          <w:tcPr>
            <w:tcW w:w="1180" w:type="dxa"/>
            <w:tcBorders>
              <w:top w:val="nil"/>
              <w:left w:val="nil"/>
              <w:bottom w:val="single" w:sz="4" w:space="0" w:color="auto"/>
              <w:right w:val="single" w:sz="4" w:space="0" w:color="auto"/>
            </w:tcBorders>
            <w:shd w:val="clear" w:color="000000" w:fill="D9D9D9"/>
            <w:hideMark/>
          </w:tcPr>
          <w:p w14:paraId="4239AC78"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Nokia</w:t>
            </w:r>
          </w:p>
        </w:tc>
        <w:tc>
          <w:tcPr>
            <w:tcW w:w="4320" w:type="dxa"/>
            <w:tcBorders>
              <w:top w:val="nil"/>
              <w:left w:val="nil"/>
              <w:bottom w:val="single" w:sz="4" w:space="0" w:color="auto"/>
              <w:right w:val="single" w:sz="4" w:space="0" w:color="auto"/>
            </w:tcBorders>
            <w:shd w:val="clear" w:color="000000" w:fill="D9D9D9"/>
            <w:hideMark/>
          </w:tcPr>
          <w:p w14:paraId="399A4046"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Beam reporting</w:t>
            </w:r>
          </w:p>
        </w:tc>
        <w:tc>
          <w:tcPr>
            <w:tcW w:w="4380" w:type="dxa"/>
            <w:tcBorders>
              <w:top w:val="nil"/>
              <w:left w:val="nil"/>
              <w:bottom w:val="single" w:sz="4" w:space="0" w:color="auto"/>
              <w:right w:val="single" w:sz="4" w:space="0" w:color="auto"/>
            </w:tcBorders>
            <w:shd w:val="clear" w:color="000000" w:fill="D9D9D9"/>
            <w:hideMark/>
          </w:tcPr>
          <w:p w14:paraId="6DA09E9C"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Details of joint SSB, CSI-RS beam reporting undefined</w:t>
            </w:r>
          </w:p>
        </w:tc>
        <w:tc>
          <w:tcPr>
            <w:tcW w:w="1360" w:type="dxa"/>
            <w:tcBorders>
              <w:top w:val="nil"/>
              <w:left w:val="nil"/>
              <w:bottom w:val="single" w:sz="4" w:space="0" w:color="auto"/>
              <w:right w:val="single" w:sz="4" w:space="0" w:color="auto"/>
            </w:tcBorders>
            <w:shd w:val="clear" w:color="000000" w:fill="D9D9D9"/>
            <w:hideMark/>
          </w:tcPr>
          <w:p w14:paraId="45F1B710"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6508CC55"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5.2.1.4</w:t>
            </w:r>
          </w:p>
        </w:tc>
      </w:tr>
      <w:tr w:rsidR="00973D1B" w:rsidRPr="002C579D" w14:paraId="68B7E7BD"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center"/>
            <w:hideMark/>
          </w:tcPr>
          <w:p w14:paraId="49FF0331" w14:textId="5535915A"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R1-1800859</w:t>
            </w:r>
          </w:p>
        </w:tc>
        <w:tc>
          <w:tcPr>
            <w:tcW w:w="1180" w:type="dxa"/>
            <w:tcBorders>
              <w:top w:val="nil"/>
              <w:left w:val="nil"/>
              <w:bottom w:val="single" w:sz="4" w:space="0" w:color="auto"/>
              <w:right w:val="single" w:sz="4" w:space="0" w:color="auto"/>
            </w:tcBorders>
            <w:shd w:val="clear" w:color="000000" w:fill="D9D9D9"/>
            <w:hideMark/>
          </w:tcPr>
          <w:p w14:paraId="572A48B7"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Qualcomm</w:t>
            </w:r>
          </w:p>
        </w:tc>
        <w:tc>
          <w:tcPr>
            <w:tcW w:w="4320" w:type="dxa"/>
            <w:tcBorders>
              <w:top w:val="nil"/>
              <w:left w:val="nil"/>
              <w:bottom w:val="single" w:sz="4" w:space="0" w:color="auto"/>
              <w:right w:val="single" w:sz="4" w:space="0" w:color="auto"/>
            </w:tcBorders>
            <w:shd w:val="clear" w:color="000000" w:fill="D9D9D9"/>
            <w:hideMark/>
          </w:tcPr>
          <w:p w14:paraId="0C346D20"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Beam reporting</w:t>
            </w:r>
          </w:p>
        </w:tc>
        <w:tc>
          <w:tcPr>
            <w:tcW w:w="4380" w:type="dxa"/>
            <w:tcBorders>
              <w:top w:val="nil"/>
              <w:left w:val="nil"/>
              <w:bottom w:val="single" w:sz="4" w:space="0" w:color="auto"/>
              <w:right w:val="single" w:sz="4" w:space="0" w:color="auto"/>
            </w:tcBorders>
            <w:shd w:val="clear" w:color="000000" w:fill="D9D9D9"/>
            <w:hideMark/>
          </w:tcPr>
          <w:p w14:paraId="524B1388"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proofErr w:type="spellStart"/>
            <w:r w:rsidRPr="002C579D">
              <w:rPr>
                <w:rFonts w:asciiTheme="minorHAnsi" w:hAnsiTheme="minorHAnsi"/>
                <w:color w:val="000000"/>
                <w:sz w:val="16"/>
                <w:szCs w:val="16"/>
                <w:lang w:val="en-US" w:eastAsia="en-US"/>
              </w:rPr>
              <w:t>Clarficiation</w:t>
            </w:r>
            <w:proofErr w:type="spellEnd"/>
            <w:r w:rsidRPr="002C579D">
              <w:rPr>
                <w:rFonts w:asciiTheme="minorHAnsi" w:hAnsiTheme="minorHAnsi"/>
                <w:color w:val="000000"/>
                <w:sz w:val="16"/>
                <w:szCs w:val="16"/>
                <w:lang w:val="en-US" w:eastAsia="en-US"/>
              </w:rPr>
              <w:t xml:space="preserve"> on allowed reporting quantities</w:t>
            </w:r>
          </w:p>
        </w:tc>
        <w:tc>
          <w:tcPr>
            <w:tcW w:w="1360" w:type="dxa"/>
            <w:tcBorders>
              <w:top w:val="nil"/>
              <w:left w:val="nil"/>
              <w:bottom w:val="single" w:sz="4" w:space="0" w:color="auto"/>
              <w:right w:val="single" w:sz="4" w:space="0" w:color="auto"/>
            </w:tcBorders>
            <w:shd w:val="clear" w:color="000000" w:fill="D9D9D9"/>
            <w:hideMark/>
          </w:tcPr>
          <w:p w14:paraId="25391702"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1A346FF6"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5.2.1.4</w:t>
            </w:r>
          </w:p>
        </w:tc>
      </w:tr>
      <w:tr w:rsidR="00973D1B" w:rsidRPr="002C579D" w14:paraId="7D71CDB2"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center"/>
            <w:hideMark/>
          </w:tcPr>
          <w:p w14:paraId="7242206A" w14:textId="1DD7C230"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R1-1800432</w:t>
            </w:r>
          </w:p>
        </w:tc>
        <w:tc>
          <w:tcPr>
            <w:tcW w:w="1180" w:type="dxa"/>
            <w:tcBorders>
              <w:top w:val="nil"/>
              <w:left w:val="nil"/>
              <w:bottom w:val="single" w:sz="4" w:space="0" w:color="auto"/>
              <w:right w:val="single" w:sz="4" w:space="0" w:color="auto"/>
            </w:tcBorders>
            <w:shd w:val="clear" w:color="000000" w:fill="D9D9D9"/>
            <w:hideMark/>
          </w:tcPr>
          <w:p w14:paraId="6DE26BC8"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Samsung</w:t>
            </w:r>
          </w:p>
        </w:tc>
        <w:tc>
          <w:tcPr>
            <w:tcW w:w="4320" w:type="dxa"/>
            <w:tcBorders>
              <w:top w:val="nil"/>
              <w:left w:val="nil"/>
              <w:bottom w:val="single" w:sz="4" w:space="0" w:color="auto"/>
              <w:right w:val="single" w:sz="4" w:space="0" w:color="auto"/>
            </w:tcBorders>
            <w:shd w:val="clear" w:color="000000" w:fill="D9D9D9"/>
            <w:hideMark/>
          </w:tcPr>
          <w:p w14:paraId="224DB971"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Beam reporting</w:t>
            </w:r>
          </w:p>
        </w:tc>
        <w:tc>
          <w:tcPr>
            <w:tcW w:w="4380" w:type="dxa"/>
            <w:tcBorders>
              <w:top w:val="nil"/>
              <w:left w:val="nil"/>
              <w:bottom w:val="single" w:sz="4" w:space="0" w:color="auto"/>
              <w:right w:val="single" w:sz="4" w:space="0" w:color="auto"/>
            </w:tcBorders>
            <w:shd w:val="clear" w:color="000000" w:fill="D9D9D9"/>
            <w:hideMark/>
          </w:tcPr>
          <w:p w14:paraId="1ACFD92D"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Reporting order</w:t>
            </w:r>
          </w:p>
        </w:tc>
        <w:tc>
          <w:tcPr>
            <w:tcW w:w="1360" w:type="dxa"/>
            <w:tcBorders>
              <w:top w:val="nil"/>
              <w:left w:val="nil"/>
              <w:bottom w:val="single" w:sz="4" w:space="0" w:color="auto"/>
              <w:right w:val="single" w:sz="4" w:space="0" w:color="auto"/>
            </w:tcBorders>
            <w:shd w:val="clear" w:color="000000" w:fill="D9D9D9"/>
            <w:hideMark/>
          </w:tcPr>
          <w:p w14:paraId="32CB64DF"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3FE98A77"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5.2.1.4</w:t>
            </w:r>
          </w:p>
        </w:tc>
      </w:tr>
      <w:tr w:rsidR="00973D1B" w:rsidRPr="002C579D" w14:paraId="45757EFE"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center"/>
            <w:hideMark/>
          </w:tcPr>
          <w:p w14:paraId="11ED1709" w14:textId="7A4629A1"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R1-1800185</w:t>
            </w:r>
          </w:p>
        </w:tc>
        <w:tc>
          <w:tcPr>
            <w:tcW w:w="1180" w:type="dxa"/>
            <w:tcBorders>
              <w:top w:val="nil"/>
              <w:left w:val="nil"/>
              <w:bottom w:val="single" w:sz="4" w:space="0" w:color="auto"/>
              <w:right w:val="single" w:sz="4" w:space="0" w:color="auto"/>
            </w:tcBorders>
            <w:shd w:val="clear" w:color="000000" w:fill="D9D9D9"/>
            <w:hideMark/>
          </w:tcPr>
          <w:p w14:paraId="4F996100"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vivo</w:t>
            </w:r>
          </w:p>
        </w:tc>
        <w:tc>
          <w:tcPr>
            <w:tcW w:w="4320" w:type="dxa"/>
            <w:tcBorders>
              <w:top w:val="nil"/>
              <w:left w:val="nil"/>
              <w:bottom w:val="single" w:sz="4" w:space="0" w:color="auto"/>
              <w:right w:val="single" w:sz="4" w:space="0" w:color="auto"/>
            </w:tcBorders>
            <w:shd w:val="clear" w:color="000000" w:fill="D9D9D9"/>
            <w:hideMark/>
          </w:tcPr>
          <w:p w14:paraId="4A2B27B3"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Beam reporting</w:t>
            </w:r>
          </w:p>
        </w:tc>
        <w:tc>
          <w:tcPr>
            <w:tcW w:w="4380" w:type="dxa"/>
            <w:tcBorders>
              <w:top w:val="nil"/>
              <w:left w:val="nil"/>
              <w:bottom w:val="single" w:sz="4" w:space="0" w:color="auto"/>
              <w:right w:val="single" w:sz="4" w:space="0" w:color="auto"/>
            </w:tcBorders>
            <w:shd w:val="clear" w:color="000000" w:fill="D9D9D9"/>
            <w:hideMark/>
          </w:tcPr>
          <w:p w14:paraId="749ECAAD"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Joint SSB, CSI-RS beam reporting</w:t>
            </w:r>
          </w:p>
        </w:tc>
        <w:tc>
          <w:tcPr>
            <w:tcW w:w="1360" w:type="dxa"/>
            <w:tcBorders>
              <w:top w:val="nil"/>
              <w:left w:val="nil"/>
              <w:bottom w:val="single" w:sz="4" w:space="0" w:color="auto"/>
              <w:right w:val="single" w:sz="4" w:space="0" w:color="auto"/>
            </w:tcBorders>
            <w:shd w:val="clear" w:color="000000" w:fill="D9D9D9"/>
            <w:hideMark/>
          </w:tcPr>
          <w:p w14:paraId="0AD24816"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40242392"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5.2.1.4</w:t>
            </w:r>
          </w:p>
        </w:tc>
      </w:tr>
      <w:tr w:rsidR="00973D1B" w:rsidRPr="002C579D" w14:paraId="13EE2969"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center"/>
            <w:hideMark/>
          </w:tcPr>
          <w:p w14:paraId="47959FC7" w14:textId="53B5A164"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R1-1800110</w:t>
            </w:r>
          </w:p>
        </w:tc>
        <w:tc>
          <w:tcPr>
            <w:tcW w:w="1180" w:type="dxa"/>
            <w:tcBorders>
              <w:top w:val="nil"/>
              <w:left w:val="nil"/>
              <w:bottom w:val="single" w:sz="4" w:space="0" w:color="auto"/>
              <w:right w:val="single" w:sz="4" w:space="0" w:color="auto"/>
            </w:tcBorders>
            <w:shd w:val="clear" w:color="000000" w:fill="D9D9D9"/>
            <w:hideMark/>
          </w:tcPr>
          <w:p w14:paraId="521F7666"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ZTE</w:t>
            </w:r>
          </w:p>
        </w:tc>
        <w:tc>
          <w:tcPr>
            <w:tcW w:w="4320" w:type="dxa"/>
            <w:tcBorders>
              <w:top w:val="nil"/>
              <w:left w:val="nil"/>
              <w:bottom w:val="single" w:sz="4" w:space="0" w:color="auto"/>
              <w:right w:val="single" w:sz="4" w:space="0" w:color="auto"/>
            </w:tcBorders>
            <w:shd w:val="clear" w:color="000000" w:fill="D9D9D9"/>
            <w:hideMark/>
          </w:tcPr>
          <w:p w14:paraId="1C0E107B"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Beam reporting</w:t>
            </w:r>
          </w:p>
        </w:tc>
        <w:tc>
          <w:tcPr>
            <w:tcW w:w="4380" w:type="dxa"/>
            <w:tcBorders>
              <w:top w:val="nil"/>
              <w:left w:val="nil"/>
              <w:bottom w:val="single" w:sz="4" w:space="0" w:color="auto"/>
              <w:right w:val="single" w:sz="4" w:space="0" w:color="auto"/>
            </w:tcBorders>
            <w:shd w:val="clear" w:color="000000" w:fill="D9D9D9"/>
            <w:hideMark/>
          </w:tcPr>
          <w:p w14:paraId="629B07F6"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Local vs. global CRI</w:t>
            </w:r>
          </w:p>
        </w:tc>
        <w:tc>
          <w:tcPr>
            <w:tcW w:w="1360" w:type="dxa"/>
            <w:tcBorders>
              <w:top w:val="nil"/>
              <w:left w:val="nil"/>
              <w:bottom w:val="single" w:sz="4" w:space="0" w:color="auto"/>
              <w:right w:val="single" w:sz="4" w:space="0" w:color="auto"/>
            </w:tcBorders>
            <w:shd w:val="clear" w:color="000000" w:fill="D9D9D9"/>
            <w:hideMark/>
          </w:tcPr>
          <w:p w14:paraId="708D5AEE"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79E6523F"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5.2.1.4</w:t>
            </w:r>
          </w:p>
        </w:tc>
      </w:tr>
      <w:tr w:rsidR="00973D1B" w:rsidRPr="002C579D" w14:paraId="03D87599"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center"/>
            <w:hideMark/>
          </w:tcPr>
          <w:p w14:paraId="32B751A0" w14:textId="5E1A2945"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R1-1800110</w:t>
            </w:r>
          </w:p>
        </w:tc>
        <w:tc>
          <w:tcPr>
            <w:tcW w:w="1180" w:type="dxa"/>
            <w:tcBorders>
              <w:top w:val="nil"/>
              <w:left w:val="nil"/>
              <w:bottom w:val="single" w:sz="4" w:space="0" w:color="auto"/>
              <w:right w:val="single" w:sz="4" w:space="0" w:color="auto"/>
            </w:tcBorders>
            <w:shd w:val="clear" w:color="000000" w:fill="D9D9D9"/>
            <w:hideMark/>
          </w:tcPr>
          <w:p w14:paraId="3DC32E9B"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ZTE</w:t>
            </w:r>
          </w:p>
        </w:tc>
        <w:tc>
          <w:tcPr>
            <w:tcW w:w="4320" w:type="dxa"/>
            <w:tcBorders>
              <w:top w:val="nil"/>
              <w:left w:val="nil"/>
              <w:bottom w:val="single" w:sz="4" w:space="0" w:color="auto"/>
              <w:right w:val="single" w:sz="4" w:space="0" w:color="auto"/>
            </w:tcBorders>
            <w:shd w:val="clear" w:color="000000" w:fill="D9D9D9"/>
            <w:hideMark/>
          </w:tcPr>
          <w:p w14:paraId="03DFD517"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Beam reporting</w:t>
            </w:r>
          </w:p>
        </w:tc>
        <w:tc>
          <w:tcPr>
            <w:tcW w:w="4380" w:type="dxa"/>
            <w:tcBorders>
              <w:top w:val="nil"/>
              <w:left w:val="nil"/>
              <w:bottom w:val="single" w:sz="4" w:space="0" w:color="auto"/>
              <w:right w:val="single" w:sz="4" w:space="0" w:color="auto"/>
            </w:tcBorders>
            <w:shd w:val="clear" w:color="000000" w:fill="D9D9D9"/>
            <w:hideMark/>
          </w:tcPr>
          <w:p w14:paraId="3CFE9298"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Joint SSB, CSI-RS beam reporting</w:t>
            </w:r>
          </w:p>
        </w:tc>
        <w:tc>
          <w:tcPr>
            <w:tcW w:w="1360" w:type="dxa"/>
            <w:tcBorders>
              <w:top w:val="nil"/>
              <w:left w:val="nil"/>
              <w:bottom w:val="single" w:sz="4" w:space="0" w:color="auto"/>
              <w:right w:val="single" w:sz="4" w:space="0" w:color="auto"/>
            </w:tcBorders>
            <w:shd w:val="clear" w:color="000000" w:fill="D9D9D9"/>
            <w:hideMark/>
          </w:tcPr>
          <w:p w14:paraId="0D4AB6C0"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06519BF3"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5.2.1.4</w:t>
            </w:r>
          </w:p>
        </w:tc>
      </w:tr>
      <w:tr w:rsidR="00973D1B" w:rsidRPr="002C579D" w14:paraId="56FA5D2A"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center"/>
            <w:hideMark/>
          </w:tcPr>
          <w:p w14:paraId="22242A87" w14:textId="27A853E7"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R1-1800110</w:t>
            </w:r>
          </w:p>
        </w:tc>
        <w:tc>
          <w:tcPr>
            <w:tcW w:w="1180" w:type="dxa"/>
            <w:tcBorders>
              <w:top w:val="nil"/>
              <w:left w:val="nil"/>
              <w:bottom w:val="single" w:sz="4" w:space="0" w:color="auto"/>
              <w:right w:val="single" w:sz="4" w:space="0" w:color="auto"/>
            </w:tcBorders>
            <w:shd w:val="clear" w:color="000000" w:fill="D9D9D9"/>
            <w:hideMark/>
          </w:tcPr>
          <w:p w14:paraId="60803C81"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ZTE</w:t>
            </w:r>
          </w:p>
        </w:tc>
        <w:tc>
          <w:tcPr>
            <w:tcW w:w="4320" w:type="dxa"/>
            <w:tcBorders>
              <w:top w:val="nil"/>
              <w:left w:val="nil"/>
              <w:bottom w:val="single" w:sz="4" w:space="0" w:color="auto"/>
              <w:right w:val="single" w:sz="4" w:space="0" w:color="auto"/>
            </w:tcBorders>
            <w:shd w:val="clear" w:color="000000" w:fill="D9D9D9"/>
            <w:hideMark/>
          </w:tcPr>
          <w:p w14:paraId="329E1B4C"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CSI &amp; BM framework</w:t>
            </w:r>
          </w:p>
        </w:tc>
        <w:tc>
          <w:tcPr>
            <w:tcW w:w="4380" w:type="dxa"/>
            <w:tcBorders>
              <w:top w:val="nil"/>
              <w:left w:val="nil"/>
              <w:bottom w:val="single" w:sz="4" w:space="0" w:color="auto"/>
              <w:right w:val="single" w:sz="4" w:space="0" w:color="auto"/>
            </w:tcBorders>
            <w:shd w:val="clear" w:color="000000" w:fill="D9D9D9"/>
            <w:hideMark/>
          </w:tcPr>
          <w:p w14:paraId="768A04CD"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Number of resources in a resource setting</w:t>
            </w:r>
          </w:p>
        </w:tc>
        <w:tc>
          <w:tcPr>
            <w:tcW w:w="1360" w:type="dxa"/>
            <w:tcBorders>
              <w:top w:val="nil"/>
              <w:left w:val="nil"/>
              <w:bottom w:val="single" w:sz="4" w:space="0" w:color="auto"/>
              <w:right w:val="single" w:sz="4" w:space="0" w:color="auto"/>
            </w:tcBorders>
            <w:shd w:val="clear" w:color="000000" w:fill="D9D9D9"/>
            <w:hideMark/>
          </w:tcPr>
          <w:p w14:paraId="27E736A4"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6C280951"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5.2.1.4</w:t>
            </w:r>
          </w:p>
        </w:tc>
      </w:tr>
      <w:tr w:rsidR="00973D1B" w:rsidRPr="002C579D" w14:paraId="7612788E"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bottom"/>
            <w:hideMark/>
          </w:tcPr>
          <w:p w14:paraId="5DD4EE18" w14:textId="2C557EF7"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R1-1800159</w:t>
            </w:r>
          </w:p>
        </w:tc>
        <w:tc>
          <w:tcPr>
            <w:tcW w:w="1180" w:type="dxa"/>
            <w:tcBorders>
              <w:top w:val="nil"/>
              <w:left w:val="nil"/>
              <w:bottom w:val="single" w:sz="4" w:space="0" w:color="auto"/>
              <w:right w:val="single" w:sz="4" w:space="0" w:color="auto"/>
            </w:tcBorders>
            <w:shd w:val="clear" w:color="000000" w:fill="D9D9D9"/>
            <w:hideMark/>
          </w:tcPr>
          <w:p w14:paraId="4CBF06C1"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proofErr w:type="spellStart"/>
            <w:r w:rsidRPr="002C579D">
              <w:rPr>
                <w:rFonts w:asciiTheme="minorHAnsi" w:hAnsiTheme="minorHAnsi"/>
                <w:color w:val="000000"/>
                <w:sz w:val="16"/>
                <w:szCs w:val="16"/>
                <w:lang w:val="en-US" w:eastAsia="en-US"/>
              </w:rPr>
              <w:t>MediaTek</w:t>
            </w:r>
            <w:proofErr w:type="spellEnd"/>
          </w:p>
        </w:tc>
        <w:tc>
          <w:tcPr>
            <w:tcW w:w="4320" w:type="dxa"/>
            <w:tcBorders>
              <w:top w:val="nil"/>
              <w:left w:val="nil"/>
              <w:bottom w:val="single" w:sz="4" w:space="0" w:color="auto"/>
              <w:right w:val="single" w:sz="4" w:space="0" w:color="auto"/>
            </w:tcBorders>
            <w:shd w:val="clear" w:color="000000" w:fill="D9D9D9"/>
            <w:hideMark/>
          </w:tcPr>
          <w:p w14:paraId="5772F380"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DL beam management</w:t>
            </w:r>
          </w:p>
        </w:tc>
        <w:tc>
          <w:tcPr>
            <w:tcW w:w="4380" w:type="dxa"/>
            <w:tcBorders>
              <w:top w:val="nil"/>
              <w:left w:val="nil"/>
              <w:bottom w:val="single" w:sz="4" w:space="0" w:color="auto"/>
              <w:right w:val="single" w:sz="4" w:space="0" w:color="auto"/>
            </w:tcBorders>
            <w:shd w:val="clear" w:color="000000" w:fill="D9D9D9"/>
            <w:hideMark/>
          </w:tcPr>
          <w:p w14:paraId="6FF46A16"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CSI-RS resource set configuration</w:t>
            </w:r>
          </w:p>
        </w:tc>
        <w:tc>
          <w:tcPr>
            <w:tcW w:w="1360" w:type="dxa"/>
            <w:tcBorders>
              <w:top w:val="nil"/>
              <w:left w:val="nil"/>
              <w:bottom w:val="single" w:sz="4" w:space="0" w:color="auto"/>
              <w:right w:val="single" w:sz="4" w:space="0" w:color="auto"/>
            </w:tcBorders>
            <w:shd w:val="clear" w:color="000000" w:fill="D9D9D9"/>
            <w:hideMark/>
          </w:tcPr>
          <w:p w14:paraId="0E96C01C"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4854BE39"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5.2.1.4</w:t>
            </w:r>
          </w:p>
        </w:tc>
      </w:tr>
      <w:tr w:rsidR="00973D1B" w:rsidRPr="002C579D" w14:paraId="0733722A"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bottom"/>
            <w:hideMark/>
          </w:tcPr>
          <w:p w14:paraId="3DA7D659" w14:textId="314A19F0"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R1-1800159</w:t>
            </w:r>
          </w:p>
        </w:tc>
        <w:tc>
          <w:tcPr>
            <w:tcW w:w="1180" w:type="dxa"/>
            <w:tcBorders>
              <w:top w:val="nil"/>
              <w:left w:val="nil"/>
              <w:bottom w:val="single" w:sz="4" w:space="0" w:color="auto"/>
              <w:right w:val="single" w:sz="4" w:space="0" w:color="auto"/>
            </w:tcBorders>
            <w:shd w:val="clear" w:color="000000" w:fill="D9D9D9"/>
            <w:hideMark/>
          </w:tcPr>
          <w:p w14:paraId="6AD6EA6C"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proofErr w:type="spellStart"/>
            <w:r w:rsidRPr="002C579D">
              <w:rPr>
                <w:rFonts w:asciiTheme="minorHAnsi" w:hAnsiTheme="minorHAnsi"/>
                <w:color w:val="000000"/>
                <w:sz w:val="16"/>
                <w:szCs w:val="16"/>
                <w:lang w:val="en-US" w:eastAsia="en-US"/>
              </w:rPr>
              <w:t>MediaTek</w:t>
            </w:r>
            <w:proofErr w:type="spellEnd"/>
          </w:p>
        </w:tc>
        <w:tc>
          <w:tcPr>
            <w:tcW w:w="4320" w:type="dxa"/>
            <w:tcBorders>
              <w:top w:val="nil"/>
              <w:left w:val="nil"/>
              <w:bottom w:val="single" w:sz="4" w:space="0" w:color="auto"/>
              <w:right w:val="single" w:sz="4" w:space="0" w:color="auto"/>
            </w:tcBorders>
            <w:shd w:val="clear" w:color="000000" w:fill="D9D9D9"/>
            <w:hideMark/>
          </w:tcPr>
          <w:p w14:paraId="51EC261F"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DL beam management</w:t>
            </w:r>
          </w:p>
        </w:tc>
        <w:tc>
          <w:tcPr>
            <w:tcW w:w="4380" w:type="dxa"/>
            <w:tcBorders>
              <w:top w:val="nil"/>
              <w:left w:val="nil"/>
              <w:bottom w:val="single" w:sz="4" w:space="0" w:color="auto"/>
              <w:right w:val="single" w:sz="4" w:space="0" w:color="auto"/>
            </w:tcBorders>
            <w:shd w:val="clear" w:color="000000" w:fill="D9D9D9"/>
            <w:hideMark/>
          </w:tcPr>
          <w:p w14:paraId="6B7F5AE3"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CSI-RS resource set configuration</w:t>
            </w:r>
          </w:p>
        </w:tc>
        <w:tc>
          <w:tcPr>
            <w:tcW w:w="1360" w:type="dxa"/>
            <w:tcBorders>
              <w:top w:val="nil"/>
              <w:left w:val="nil"/>
              <w:bottom w:val="single" w:sz="4" w:space="0" w:color="auto"/>
              <w:right w:val="single" w:sz="4" w:space="0" w:color="auto"/>
            </w:tcBorders>
            <w:shd w:val="clear" w:color="000000" w:fill="D9D9D9"/>
            <w:hideMark/>
          </w:tcPr>
          <w:p w14:paraId="0FCE9853"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03B66453"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5.2.1.4</w:t>
            </w:r>
          </w:p>
        </w:tc>
      </w:tr>
      <w:tr w:rsidR="00973D1B" w:rsidRPr="002C579D" w14:paraId="0867AD6F"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bottom"/>
            <w:hideMark/>
          </w:tcPr>
          <w:p w14:paraId="5BAF5699" w14:textId="1DDB1718"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R1-1800159</w:t>
            </w:r>
          </w:p>
        </w:tc>
        <w:tc>
          <w:tcPr>
            <w:tcW w:w="1180" w:type="dxa"/>
            <w:tcBorders>
              <w:top w:val="nil"/>
              <w:left w:val="nil"/>
              <w:bottom w:val="single" w:sz="4" w:space="0" w:color="auto"/>
              <w:right w:val="single" w:sz="4" w:space="0" w:color="auto"/>
            </w:tcBorders>
            <w:shd w:val="clear" w:color="000000" w:fill="D9D9D9"/>
            <w:hideMark/>
          </w:tcPr>
          <w:p w14:paraId="709A2543"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proofErr w:type="spellStart"/>
            <w:r w:rsidRPr="002C579D">
              <w:rPr>
                <w:rFonts w:asciiTheme="minorHAnsi" w:hAnsiTheme="minorHAnsi"/>
                <w:color w:val="000000"/>
                <w:sz w:val="16"/>
                <w:szCs w:val="16"/>
                <w:lang w:val="en-US" w:eastAsia="en-US"/>
              </w:rPr>
              <w:t>MediaTek</w:t>
            </w:r>
            <w:proofErr w:type="spellEnd"/>
          </w:p>
        </w:tc>
        <w:tc>
          <w:tcPr>
            <w:tcW w:w="4320" w:type="dxa"/>
            <w:tcBorders>
              <w:top w:val="nil"/>
              <w:left w:val="nil"/>
              <w:bottom w:val="single" w:sz="4" w:space="0" w:color="auto"/>
              <w:right w:val="single" w:sz="4" w:space="0" w:color="auto"/>
            </w:tcBorders>
            <w:shd w:val="clear" w:color="000000" w:fill="D9D9D9"/>
            <w:hideMark/>
          </w:tcPr>
          <w:p w14:paraId="64947AF1"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DL beam management</w:t>
            </w:r>
          </w:p>
        </w:tc>
        <w:tc>
          <w:tcPr>
            <w:tcW w:w="4380" w:type="dxa"/>
            <w:tcBorders>
              <w:top w:val="nil"/>
              <w:left w:val="nil"/>
              <w:bottom w:val="single" w:sz="4" w:space="0" w:color="auto"/>
              <w:right w:val="single" w:sz="4" w:space="0" w:color="auto"/>
            </w:tcBorders>
            <w:shd w:val="clear" w:color="000000" w:fill="D9D9D9"/>
            <w:hideMark/>
          </w:tcPr>
          <w:p w14:paraId="2F3D5647"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CSI-RS resource set configuration</w:t>
            </w:r>
          </w:p>
        </w:tc>
        <w:tc>
          <w:tcPr>
            <w:tcW w:w="1360" w:type="dxa"/>
            <w:tcBorders>
              <w:top w:val="nil"/>
              <w:left w:val="nil"/>
              <w:bottom w:val="single" w:sz="4" w:space="0" w:color="auto"/>
              <w:right w:val="single" w:sz="4" w:space="0" w:color="auto"/>
            </w:tcBorders>
            <w:shd w:val="clear" w:color="000000" w:fill="D9D9D9"/>
            <w:hideMark/>
          </w:tcPr>
          <w:p w14:paraId="5F23BCC1"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790D2595"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5.2.1.4</w:t>
            </w:r>
          </w:p>
        </w:tc>
      </w:tr>
      <w:tr w:rsidR="00973D1B" w:rsidRPr="002C579D" w14:paraId="4F501DE8"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center"/>
            <w:hideMark/>
          </w:tcPr>
          <w:p w14:paraId="0C7528CF" w14:textId="4AB07BFA"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R1-1800751</w:t>
            </w:r>
          </w:p>
        </w:tc>
        <w:tc>
          <w:tcPr>
            <w:tcW w:w="1180" w:type="dxa"/>
            <w:tcBorders>
              <w:top w:val="nil"/>
              <w:left w:val="nil"/>
              <w:bottom w:val="single" w:sz="4" w:space="0" w:color="auto"/>
              <w:right w:val="single" w:sz="4" w:space="0" w:color="auto"/>
            </w:tcBorders>
            <w:shd w:val="clear" w:color="000000" w:fill="D9D9D9"/>
            <w:hideMark/>
          </w:tcPr>
          <w:p w14:paraId="05AB4A7F"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Nokia</w:t>
            </w:r>
          </w:p>
        </w:tc>
        <w:tc>
          <w:tcPr>
            <w:tcW w:w="4320" w:type="dxa"/>
            <w:tcBorders>
              <w:top w:val="nil"/>
              <w:left w:val="nil"/>
              <w:bottom w:val="single" w:sz="4" w:space="0" w:color="auto"/>
              <w:right w:val="single" w:sz="4" w:space="0" w:color="auto"/>
            </w:tcBorders>
            <w:shd w:val="clear" w:color="000000" w:fill="D9D9D9"/>
            <w:hideMark/>
          </w:tcPr>
          <w:p w14:paraId="17558D95"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Group-based beam reporting</w:t>
            </w:r>
          </w:p>
        </w:tc>
        <w:tc>
          <w:tcPr>
            <w:tcW w:w="4380" w:type="dxa"/>
            <w:tcBorders>
              <w:top w:val="nil"/>
              <w:left w:val="nil"/>
              <w:bottom w:val="single" w:sz="4" w:space="0" w:color="auto"/>
              <w:right w:val="single" w:sz="4" w:space="0" w:color="auto"/>
            </w:tcBorders>
            <w:shd w:val="clear" w:color="000000" w:fill="D9D9D9"/>
            <w:hideMark/>
          </w:tcPr>
          <w:p w14:paraId="48253D62"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Differential L1-RSRP reporting not defined</w:t>
            </w:r>
          </w:p>
        </w:tc>
        <w:tc>
          <w:tcPr>
            <w:tcW w:w="1360" w:type="dxa"/>
            <w:tcBorders>
              <w:top w:val="nil"/>
              <w:left w:val="nil"/>
              <w:bottom w:val="single" w:sz="4" w:space="0" w:color="auto"/>
              <w:right w:val="single" w:sz="4" w:space="0" w:color="auto"/>
            </w:tcBorders>
            <w:shd w:val="clear" w:color="000000" w:fill="D9D9D9"/>
            <w:hideMark/>
          </w:tcPr>
          <w:p w14:paraId="57B0B18A"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3097EC47"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5.2.1.4</w:t>
            </w:r>
          </w:p>
        </w:tc>
      </w:tr>
      <w:tr w:rsidR="00973D1B" w:rsidRPr="002C579D" w14:paraId="63A5F825"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center"/>
            <w:hideMark/>
          </w:tcPr>
          <w:p w14:paraId="4F983D60" w14:textId="6AB6C860"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R1-1800859</w:t>
            </w:r>
          </w:p>
        </w:tc>
        <w:tc>
          <w:tcPr>
            <w:tcW w:w="1180" w:type="dxa"/>
            <w:tcBorders>
              <w:top w:val="nil"/>
              <w:left w:val="nil"/>
              <w:bottom w:val="single" w:sz="4" w:space="0" w:color="auto"/>
              <w:right w:val="single" w:sz="4" w:space="0" w:color="auto"/>
            </w:tcBorders>
            <w:shd w:val="clear" w:color="000000" w:fill="D9D9D9"/>
            <w:hideMark/>
          </w:tcPr>
          <w:p w14:paraId="1E775B87"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Qualcomm</w:t>
            </w:r>
          </w:p>
        </w:tc>
        <w:tc>
          <w:tcPr>
            <w:tcW w:w="4320" w:type="dxa"/>
            <w:tcBorders>
              <w:top w:val="nil"/>
              <w:left w:val="nil"/>
              <w:bottom w:val="single" w:sz="4" w:space="0" w:color="auto"/>
              <w:right w:val="single" w:sz="4" w:space="0" w:color="auto"/>
            </w:tcBorders>
            <w:shd w:val="clear" w:color="000000" w:fill="D9D9D9"/>
            <w:hideMark/>
          </w:tcPr>
          <w:p w14:paraId="63FF00BD"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Group-based beam reporting</w:t>
            </w:r>
          </w:p>
        </w:tc>
        <w:tc>
          <w:tcPr>
            <w:tcW w:w="4380" w:type="dxa"/>
            <w:tcBorders>
              <w:top w:val="nil"/>
              <w:left w:val="nil"/>
              <w:bottom w:val="single" w:sz="4" w:space="0" w:color="auto"/>
              <w:right w:val="single" w:sz="4" w:space="0" w:color="auto"/>
            </w:tcBorders>
            <w:shd w:val="clear" w:color="000000" w:fill="D9D9D9"/>
            <w:hideMark/>
          </w:tcPr>
          <w:p w14:paraId="48CC436D"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 xml:space="preserve">Typo in allowed reporting </w:t>
            </w:r>
            <w:proofErr w:type="spellStart"/>
            <w:r w:rsidRPr="002C579D">
              <w:rPr>
                <w:rFonts w:asciiTheme="minorHAnsi" w:hAnsiTheme="minorHAnsi"/>
                <w:color w:val="000000"/>
                <w:sz w:val="16"/>
                <w:szCs w:val="16"/>
                <w:lang w:val="en-US" w:eastAsia="en-US"/>
              </w:rPr>
              <w:t>quanitities</w:t>
            </w:r>
            <w:proofErr w:type="spellEnd"/>
          </w:p>
        </w:tc>
        <w:tc>
          <w:tcPr>
            <w:tcW w:w="1360" w:type="dxa"/>
            <w:tcBorders>
              <w:top w:val="nil"/>
              <w:left w:val="nil"/>
              <w:bottom w:val="single" w:sz="4" w:space="0" w:color="auto"/>
              <w:right w:val="single" w:sz="4" w:space="0" w:color="auto"/>
            </w:tcBorders>
            <w:shd w:val="clear" w:color="000000" w:fill="D9D9D9"/>
            <w:hideMark/>
          </w:tcPr>
          <w:p w14:paraId="5F439499"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3EA88FEB"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5.2.1.4</w:t>
            </w:r>
          </w:p>
        </w:tc>
      </w:tr>
      <w:tr w:rsidR="00973D1B" w:rsidRPr="002C579D" w14:paraId="514BBF6B"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hideMark/>
          </w:tcPr>
          <w:p w14:paraId="712D921C" w14:textId="61745E71"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R1-1800432</w:t>
            </w:r>
          </w:p>
        </w:tc>
        <w:tc>
          <w:tcPr>
            <w:tcW w:w="1180" w:type="dxa"/>
            <w:tcBorders>
              <w:top w:val="nil"/>
              <w:left w:val="nil"/>
              <w:bottom w:val="single" w:sz="4" w:space="0" w:color="auto"/>
              <w:right w:val="single" w:sz="4" w:space="0" w:color="auto"/>
            </w:tcBorders>
            <w:shd w:val="clear" w:color="000000" w:fill="D9D9D9"/>
            <w:hideMark/>
          </w:tcPr>
          <w:p w14:paraId="7C4B20DF"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Samsung</w:t>
            </w:r>
          </w:p>
        </w:tc>
        <w:tc>
          <w:tcPr>
            <w:tcW w:w="4320" w:type="dxa"/>
            <w:tcBorders>
              <w:top w:val="nil"/>
              <w:left w:val="nil"/>
              <w:bottom w:val="single" w:sz="4" w:space="0" w:color="auto"/>
              <w:right w:val="single" w:sz="4" w:space="0" w:color="auto"/>
            </w:tcBorders>
            <w:shd w:val="clear" w:color="000000" w:fill="D9D9D9"/>
            <w:hideMark/>
          </w:tcPr>
          <w:p w14:paraId="69391002"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Group-based beam reporting</w:t>
            </w:r>
          </w:p>
        </w:tc>
        <w:tc>
          <w:tcPr>
            <w:tcW w:w="4380" w:type="dxa"/>
            <w:tcBorders>
              <w:top w:val="nil"/>
              <w:left w:val="nil"/>
              <w:bottom w:val="single" w:sz="4" w:space="0" w:color="auto"/>
              <w:right w:val="single" w:sz="4" w:space="0" w:color="auto"/>
            </w:tcBorders>
            <w:shd w:val="clear" w:color="000000" w:fill="D9D9D9"/>
            <w:hideMark/>
          </w:tcPr>
          <w:p w14:paraId="4D280673"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Reporting order</w:t>
            </w:r>
          </w:p>
        </w:tc>
        <w:tc>
          <w:tcPr>
            <w:tcW w:w="1360" w:type="dxa"/>
            <w:tcBorders>
              <w:top w:val="nil"/>
              <w:left w:val="nil"/>
              <w:bottom w:val="single" w:sz="4" w:space="0" w:color="auto"/>
              <w:right w:val="single" w:sz="4" w:space="0" w:color="auto"/>
            </w:tcBorders>
            <w:shd w:val="clear" w:color="000000" w:fill="D9D9D9"/>
            <w:hideMark/>
          </w:tcPr>
          <w:p w14:paraId="138C4EEF"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08BCE28C"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5.2.1.4</w:t>
            </w:r>
          </w:p>
        </w:tc>
      </w:tr>
      <w:tr w:rsidR="00973D1B" w:rsidRPr="002C579D" w14:paraId="5CC60DE2"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center"/>
            <w:hideMark/>
          </w:tcPr>
          <w:p w14:paraId="61FB4C4D" w14:textId="77626E12"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R1-1800110</w:t>
            </w:r>
          </w:p>
        </w:tc>
        <w:tc>
          <w:tcPr>
            <w:tcW w:w="1180" w:type="dxa"/>
            <w:tcBorders>
              <w:top w:val="nil"/>
              <w:left w:val="nil"/>
              <w:bottom w:val="single" w:sz="4" w:space="0" w:color="auto"/>
              <w:right w:val="single" w:sz="4" w:space="0" w:color="auto"/>
            </w:tcBorders>
            <w:shd w:val="clear" w:color="000000" w:fill="D9D9D9"/>
            <w:hideMark/>
          </w:tcPr>
          <w:p w14:paraId="00AB1D6A"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ZTE</w:t>
            </w:r>
          </w:p>
        </w:tc>
        <w:tc>
          <w:tcPr>
            <w:tcW w:w="4320" w:type="dxa"/>
            <w:tcBorders>
              <w:top w:val="nil"/>
              <w:left w:val="nil"/>
              <w:bottom w:val="single" w:sz="4" w:space="0" w:color="auto"/>
              <w:right w:val="single" w:sz="4" w:space="0" w:color="auto"/>
            </w:tcBorders>
            <w:shd w:val="clear" w:color="000000" w:fill="D9D9D9"/>
            <w:hideMark/>
          </w:tcPr>
          <w:p w14:paraId="3F940D27"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Group-based beam reporting</w:t>
            </w:r>
          </w:p>
        </w:tc>
        <w:tc>
          <w:tcPr>
            <w:tcW w:w="4380" w:type="dxa"/>
            <w:tcBorders>
              <w:top w:val="nil"/>
              <w:left w:val="nil"/>
              <w:bottom w:val="single" w:sz="4" w:space="0" w:color="auto"/>
              <w:right w:val="single" w:sz="4" w:space="0" w:color="auto"/>
            </w:tcBorders>
            <w:shd w:val="clear" w:color="000000" w:fill="D9D9D9"/>
            <w:hideMark/>
          </w:tcPr>
          <w:p w14:paraId="2DC95A00"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Differential L1-RSRP reporting not defined, number of beams per group limited to 2</w:t>
            </w:r>
          </w:p>
        </w:tc>
        <w:tc>
          <w:tcPr>
            <w:tcW w:w="1360" w:type="dxa"/>
            <w:tcBorders>
              <w:top w:val="nil"/>
              <w:left w:val="nil"/>
              <w:bottom w:val="single" w:sz="4" w:space="0" w:color="auto"/>
              <w:right w:val="single" w:sz="4" w:space="0" w:color="auto"/>
            </w:tcBorders>
            <w:shd w:val="clear" w:color="000000" w:fill="D9D9D9"/>
            <w:hideMark/>
          </w:tcPr>
          <w:p w14:paraId="208E8639"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16BFF27B"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5.2.1.4</w:t>
            </w:r>
          </w:p>
        </w:tc>
      </w:tr>
      <w:tr w:rsidR="00973D1B" w:rsidRPr="002C579D" w14:paraId="77D85CFF"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center"/>
            <w:hideMark/>
          </w:tcPr>
          <w:p w14:paraId="350F6F98" w14:textId="03927859"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R1-1800660</w:t>
            </w:r>
          </w:p>
        </w:tc>
        <w:tc>
          <w:tcPr>
            <w:tcW w:w="1180" w:type="dxa"/>
            <w:tcBorders>
              <w:top w:val="nil"/>
              <w:left w:val="nil"/>
              <w:bottom w:val="single" w:sz="4" w:space="0" w:color="auto"/>
              <w:right w:val="single" w:sz="4" w:space="0" w:color="auto"/>
            </w:tcBorders>
            <w:shd w:val="clear" w:color="000000" w:fill="D9D9D9"/>
            <w:hideMark/>
          </w:tcPr>
          <w:p w14:paraId="2C38E18D"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Docomo</w:t>
            </w:r>
          </w:p>
        </w:tc>
        <w:tc>
          <w:tcPr>
            <w:tcW w:w="4320" w:type="dxa"/>
            <w:tcBorders>
              <w:top w:val="nil"/>
              <w:left w:val="nil"/>
              <w:bottom w:val="single" w:sz="4" w:space="0" w:color="auto"/>
              <w:right w:val="single" w:sz="4" w:space="0" w:color="auto"/>
            </w:tcBorders>
            <w:shd w:val="clear" w:color="000000" w:fill="D9D9D9"/>
            <w:hideMark/>
          </w:tcPr>
          <w:p w14:paraId="1D31B511"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Non-group based beam reporting</w:t>
            </w:r>
          </w:p>
        </w:tc>
        <w:tc>
          <w:tcPr>
            <w:tcW w:w="4380" w:type="dxa"/>
            <w:tcBorders>
              <w:top w:val="nil"/>
              <w:left w:val="nil"/>
              <w:bottom w:val="single" w:sz="4" w:space="0" w:color="auto"/>
              <w:right w:val="single" w:sz="4" w:space="0" w:color="auto"/>
            </w:tcBorders>
            <w:shd w:val="clear" w:color="000000" w:fill="D9D9D9"/>
            <w:hideMark/>
          </w:tcPr>
          <w:p w14:paraId="16FC14A9"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Agreement #1 not correctly captured</w:t>
            </w:r>
          </w:p>
        </w:tc>
        <w:tc>
          <w:tcPr>
            <w:tcW w:w="1360" w:type="dxa"/>
            <w:tcBorders>
              <w:top w:val="nil"/>
              <w:left w:val="nil"/>
              <w:bottom w:val="single" w:sz="4" w:space="0" w:color="auto"/>
              <w:right w:val="single" w:sz="4" w:space="0" w:color="auto"/>
            </w:tcBorders>
            <w:shd w:val="clear" w:color="000000" w:fill="D9D9D9"/>
            <w:hideMark/>
          </w:tcPr>
          <w:p w14:paraId="5FB155CF"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3135CBCE"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5.2.1.4</w:t>
            </w:r>
          </w:p>
        </w:tc>
      </w:tr>
      <w:tr w:rsidR="00973D1B" w:rsidRPr="002C579D" w14:paraId="2466D8AE"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center"/>
            <w:hideMark/>
          </w:tcPr>
          <w:p w14:paraId="4274A78F" w14:textId="50CAB31A"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R1-1800859</w:t>
            </w:r>
          </w:p>
        </w:tc>
        <w:tc>
          <w:tcPr>
            <w:tcW w:w="1180" w:type="dxa"/>
            <w:tcBorders>
              <w:top w:val="nil"/>
              <w:left w:val="nil"/>
              <w:bottom w:val="single" w:sz="4" w:space="0" w:color="auto"/>
              <w:right w:val="single" w:sz="4" w:space="0" w:color="auto"/>
            </w:tcBorders>
            <w:shd w:val="clear" w:color="000000" w:fill="D9D9D9"/>
            <w:hideMark/>
          </w:tcPr>
          <w:p w14:paraId="104CFBC8"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Qualcomm</w:t>
            </w:r>
          </w:p>
        </w:tc>
        <w:tc>
          <w:tcPr>
            <w:tcW w:w="4320" w:type="dxa"/>
            <w:tcBorders>
              <w:top w:val="nil"/>
              <w:left w:val="nil"/>
              <w:bottom w:val="single" w:sz="4" w:space="0" w:color="auto"/>
              <w:right w:val="single" w:sz="4" w:space="0" w:color="auto"/>
            </w:tcBorders>
            <w:shd w:val="clear" w:color="000000" w:fill="D9D9D9"/>
            <w:hideMark/>
          </w:tcPr>
          <w:p w14:paraId="7463F188"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UE capability</w:t>
            </w:r>
          </w:p>
        </w:tc>
        <w:tc>
          <w:tcPr>
            <w:tcW w:w="4380" w:type="dxa"/>
            <w:tcBorders>
              <w:top w:val="nil"/>
              <w:left w:val="nil"/>
              <w:bottom w:val="single" w:sz="4" w:space="0" w:color="auto"/>
              <w:right w:val="single" w:sz="4" w:space="0" w:color="auto"/>
            </w:tcBorders>
            <w:shd w:val="clear" w:color="000000" w:fill="D9D9D9"/>
            <w:hideMark/>
          </w:tcPr>
          <w:p w14:paraId="3935F25B"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Number of RSRP measurements</w:t>
            </w:r>
          </w:p>
        </w:tc>
        <w:tc>
          <w:tcPr>
            <w:tcW w:w="1360" w:type="dxa"/>
            <w:tcBorders>
              <w:top w:val="nil"/>
              <w:left w:val="nil"/>
              <w:bottom w:val="single" w:sz="4" w:space="0" w:color="auto"/>
              <w:right w:val="single" w:sz="4" w:space="0" w:color="auto"/>
            </w:tcBorders>
            <w:shd w:val="clear" w:color="000000" w:fill="D9D9D9"/>
            <w:hideMark/>
          </w:tcPr>
          <w:p w14:paraId="659F61F3"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2E7D9FC3"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5.2.1.4</w:t>
            </w:r>
          </w:p>
        </w:tc>
      </w:tr>
      <w:tr w:rsidR="00973D1B" w:rsidRPr="002C579D" w14:paraId="01C36B9C"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center"/>
            <w:hideMark/>
          </w:tcPr>
          <w:p w14:paraId="189340B6" w14:textId="63FBE7E4"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R1-1800660</w:t>
            </w:r>
          </w:p>
        </w:tc>
        <w:tc>
          <w:tcPr>
            <w:tcW w:w="1180" w:type="dxa"/>
            <w:tcBorders>
              <w:top w:val="nil"/>
              <w:left w:val="nil"/>
              <w:bottom w:val="single" w:sz="4" w:space="0" w:color="auto"/>
              <w:right w:val="single" w:sz="4" w:space="0" w:color="auto"/>
            </w:tcBorders>
            <w:shd w:val="clear" w:color="000000" w:fill="D9D9D9"/>
            <w:hideMark/>
          </w:tcPr>
          <w:p w14:paraId="6426541E"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Docomo</w:t>
            </w:r>
          </w:p>
        </w:tc>
        <w:tc>
          <w:tcPr>
            <w:tcW w:w="4320" w:type="dxa"/>
            <w:tcBorders>
              <w:top w:val="nil"/>
              <w:left w:val="nil"/>
              <w:bottom w:val="single" w:sz="4" w:space="0" w:color="auto"/>
              <w:right w:val="single" w:sz="4" w:space="0" w:color="auto"/>
            </w:tcBorders>
            <w:shd w:val="clear" w:color="000000" w:fill="D9D9D9"/>
            <w:hideMark/>
          </w:tcPr>
          <w:p w14:paraId="2D75E01C"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 </w:t>
            </w:r>
          </w:p>
        </w:tc>
        <w:tc>
          <w:tcPr>
            <w:tcW w:w="4380" w:type="dxa"/>
            <w:tcBorders>
              <w:top w:val="nil"/>
              <w:left w:val="nil"/>
              <w:bottom w:val="single" w:sz="4" w:space="0" w:color="auto"/>
              <w:right w:val="single" w:sz="4" w:space="0" w:color="auto"/>
            </w:tcBorders>
            <w:shd w:val="clear" w:color="000000" w:fill="D9D9D9"/>
            <w:hideMark/>
          </w:tcPr>
          <w:p w14:paraId="1E236A84"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Editorial TP</w:t>
            </w:r>
          </w:p>
        </w:tc>
        <w:tc>
          <w:tcPr>
            <w:tcW w:w="1360" w:type="dxa"/>
            <w:tcBorders>
              <w:top w:val="nil"/>
              <w:left w:val="nil"/>
              <w:bottom w:val="single" w:sz="4" w:space="0" w:color="auto"/>
              <w:right w:val="single" w:sz="4" w:space="0" w:color="auto"/>
            </w:tcBorders>
            <w:shd w:val="clear" w:color="000000" w:fill="D9D9D9"/>
            <w:hideMark/>
          </w:tcPr>
          <w:p w14:paraId="4FBA0359"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2E1F4C6B"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5.2.1.4</w:t>
            </w:r>
          </w:p>
        </w:tc>
      </w:tr>
      <w:tr w:rsidR="00973D1B" w:rsidRPr="002C579D" w14:paraId="0258C33B" w14:textId="77777777" w:rsidTr="002C579D">
        <w:trPr>
          <w:trHeight w:val="216"/>
        </w:trPr>
        <w:tc>
          <w:tcPr>
            <w:tcW w:w="1220" w:type="dxa"/>
            <w:tcBorders>
              <w:top w:val="nil"/>
              <w:left w:val="single" w:sz="8" w:space="0" w:color="auto"/>
              <w:bottom w:val="single" w:sz="4" w:space="0" w:color="auto"/>
              <w:right w:val="single" w:sz="4" w:space="0" w:color="auto"/>
            </w:tcBorders>
            <w:shd w:val="clear" w:color="auto" w:fill="auto"/>
            <w:noWrap/>
            <w:vAlign w:val="center"/>
            <w:hideMark/>
          </w:tcPr>
          <w:p w14:paraId="4103DEC4" w14:textId="4E991901"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R1-1800110</w:t>
            </w:r>
          </w:p>
        </w:tc>
        <w:tc>
          <w:tcPr>
            <w:tcW w:w="1180" w:type="dxa"/>
            <w:tcBorders>
              <w:top w:val="nil"/>
              <w:left w:val="nil"/>
              <w:bottom w:val="single" w:sz="4" w:space="0" w:color="auto"/>
              <w:right w:val="single" w:sz="4" w:space="0" w:color="auto"/>
            </w:tcBorders>
            <w:shd w:val="clear" w:color="auto" w:fill="auto"/>
            <w:hideMark/>
          </w:tcPr>
          <w:p w14:paraId="4C85EDA8"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ZTE</w:t>
            </w:r>
          </w:p>
        </w:tc>
        <w:tc>
          <w:tcPr>
            <w:tcW w:w="4320" w:type="dxa"/>
            <w:tcBorders>
              <w:top w:val="nil"/>
              <w:left w:val="nil"/>
              <w:bottom w:val="single" w:sz="4" w:space="0" w:color="auto"/>
              <w:right w:val="single" w:sz="4" w:space="0" w:color="auto"/>
            </w:tcBorders>
            <w:shd w:val="clear" w:color="auto" w:fill="auto"/>
            <w:hideMark/>
          </w:tcPr>
          <w:p w14:paraId="48FB1874"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CSI &amp; BM framework</w:t>
            </w:r>
          </w:p>
        </w:tc>
        <w:tc>
          <w:tcPr>
            <w:tcW w:w="4380" w:type="dxa"/>
            <w:tcBorders>
              <w:top w:val="nil"/>
              <w:left w:val="nil"/>
              <w:bottom w:val="single" w:sz="4" w:space="0" w:color="auto"/>
              <w:right w:val="single" w:sz="4" w:space="0" w:color="auto"/>
            </w:tcBorders>
            <w:shd w:val="clear" w:color="auto" w:fill="auto"/>
            <w:hideMark/>
          </w:tcPr>
          <w:p w14:paraId="63E5EC7C"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Editorial TP</w:t>
            </w:r>
          </w:p>
        </w:tc>
        <w:tc>
          <w:tcPr>
            <w:tcW w:w="1360" w:type="dxa"/>
            <w:tcBorders>
              <w:top w:val="nil"/>
              <w:left w:val="nil"/>
              <w:bottom w:val="single" w:sz="4" w:space="0" w:color="auto"/>
              <w:right w:val="single" w:sz="4" w:space="0" w:color="auto"/>
            </w:tcBorders>
            <w:shd w:val="clear" w:color="auto" w:fill="auto"/>
            <w:hideMark/>
          </w:tcPr>
          <w:p w14:paraId="06AE42CB"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auto" w:fill="auto"/>
            <w:hideMark/>
          </w:tcPr>
          <w:p w14:paraId="66450EE1"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5.2.1.5.1</w:t>
            </w:r>
          </w:p>
        </w:tc>
      </w:tr>
      <w:tr w:rsidR="00973D1B" w:rsidRPr="002C579D" w14:paraId="5DBCD171"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center"/>
            <w:hideMark/>
          </w:tcPr>
          <w:p w14:paraId="22465AB8" w14:textId="4E96310B"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R1-1800751</w:t>
            </w:r>
          </w:p>
        </w:tc>
        <w:tc>
          <w:tcPr>
            <w:tcW w:w="1180" w:type="dxa"/>
            <w:tcBorders>
              <w:top w:val="nil"/>
              <w:left w:val="nil"/>
              <w:bottom w:val="single" w:sz="4" w:space="0" w:color="auto"/>
              <w:right w:val="single" w:sz="4" w:space="0" w:color="auto"/>
            </w:tcBorders>
            <w:shd w:val="clear" w:color="000000" w:fill="D9D9D9"/>
            <w:hideMark/>
          </w:tcPr>
          <w:p w14:paraId="001305BD"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Nokia</w:t>
            </w:r>
          </w:p>
        </w:tc>
        <w:tc>
          <w:tcPr>
            <w:tcW w:w="4320" w:type="dxa"/>
            <w:tcBorders>
              <w:top w:val="nil"/>
              <w:left w:val="nil"/>
              <w:bottom w:val="single" w:sz="4" w:space="0" w:color="auto"/>
              <w:right w:val="single" w:sz="4" w:space="0" w:color="auto"/>
            </w:tcBorders>
            <w:shd w:val="clear" w:color="000000" w:fill="D9D9D9"/>
            <w:hideMark/>
          </w:tcPr>
          <w:p w14:paraId="74CFD350"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QCL assumption CSI-RS</w:t>
            </w:r>
          </w:p>
        </w:tc>
        <w:tc>
          <w:tcPr>
            <w:tcW w:w="4380" w:type="dxa"/>
            <w:tcBorders>
              <w:top w:val="nil"/>
              <w:left w:val="nil"/>
              <w:bottom w:val="single" w:sz="4" w:space="0" w:color="auto"/>
              <w:right w:val="single" w:sz="4" w:space="0" w:color="auto"/>
            </w:tcBorders>
            <w:shd w:val="clear" w:color="000000" w:fill="D9D9D9"/>
            <w:hideMark/>
          </w:tcPr>
          <w:p w14:paraId="63EA91FB"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QCL reference for target p-CSI-RS undefined</w:t>
            </w:r>
          </w:p>
        </w:tc>
        <w:tc>
          <w:tcPr>
            <w:tcW w:w="1360" w:type="dxa"/>
            <w:tcBorders>
              <w:top w:val="nil"/>
              <w:left w:val="nil"/>
              <w:bottom w:val="single" w:sz="4" w:space="0" w:color="auto"/>
              <w:right w:val="single" w:sz="4" w:space="0" w:color="auto"/>
            </w:tcBorders>
            <w:shd w:val="clear" w:color="000000" w:fill="D9D9D9"/>
            <w:hideMark/>
          </w:tcPr>
          <w:p w14:paraId="38EF43A5"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4E02D547"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5.2.2.3.1</w:t>
            </w:r>
          </w:p>
        </w:tc>
      </w:tr>
      <w:tr w:rsidR="00973D1B" w:rsidRPr="002C579D" w14:paraId="7B614BF7" w14:textId="77777777" w:rsidTr="002C579D">
        <w:trPr>
          <w:trHeight w:val="216"/>
        </w:trPr>
        <w:tc>
          <w:tcPr>
            <w:tcW w:w="1220" w:type="dxa"/>
            <w:tcBorders>
              <w:top w:val="nil"/>
              <w:left w:val="single" w:sz="8" w:space="0" w:color="auto"/>
              <w:bottom w:val="single" w:sz="4" w:space="0" w:color="auto"/>
              <w:right w:val="single" w:sz="4" w:space="0" w:color="auto"/>
            </w:tcBorders>
            <w:shd w:val="clear" w:color="auto" w:fill="auto"/>
            <w:noWrap/>
            <w:vAlign w:val="center"/>
            <w:hideMark/>
          </w:tcPr>
          <w:p w14:paraId="2FBBD549" w14:textId="583DCC36"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R1-1800432</w:t>
            </w:r>
          </w:p>
        </w:tc>
        <w:tc>
          <w:tcPr>
            <w:tcW w:w="1180" w:type="dxa"/>
            <w:tcBorders>
              <w:top w:val="nil"/>
              <w:left w:val="nil"/>
              <w:bottom w:val="single" w:sz="4" w:space="0" w:color="auto"/>
              <w:right w:val="single" w:sz="4" w:space="0" w:color="auto"/>
            </w:tcBorders>
            <w:shd w:val="clear" w:color="auto" w:fill="auto"/>
            <w:hideMark/>
          </w:tcPr>
          <w:p w14:paraId="53F22750"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Samsung</w:t>
            </w:r>
          </w:p>
        </w:tc>
        <w:tc>
          <w:tcPr>
            <w:tcW w:w="4320" w:type="dxa"/>
            <w:tcBorders>
              <w:top w:val="nil"/>
              <w:left w:val="nil"/>
              <w:bottom w:val="single" w:sz="4" w:space="0" w:color="auto"/>
              <w:right w:val="single" w:sz="4" w:space="0" w:color="auto"/>
            </w:tcBorders>
            <w:shd w:val="clear" w:color="auto" w:fill="auto"/>
            <w:hideMark/>
          </w:tcPr>
          <w:p w14:paraId="0BDB0115"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Beam reporting</w:t>
            </w:r>
          </w:p>
        </w:tc>
        <w:tc>
          <w:tcPr>
            <w:tcW w:w="4380" w:type="dxa"/>
            <w:tcBorders>
              <w:top w:val="nil"/>
              <w:left w:val="nil"/>
              <w:bottom w:val="single" w:sz="4" w:space="0" w:color="auto"/>
              <w:right w:val="single" w:sz="4" w:space="0" w:color="auto"/>
            </w:tcBorders>
            <w:shd w:val="clear" w:color="auto" w:fill="auto"/>
            <w:hideMark/>
          </w:tcPr>
          <w:p w14:paraId="6BC52E03"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Reporting format</w:t>
            </w:r>
          </w:p>
        </w:tc>
        <w:tc>
          <w:tcPr>
            <w:tcW w:w="1360" w:type="dxa"/>
            <w:tcBorders>
              <w:top w:val="nil"/>
              <w:left w:val="nil"/>
              <w:bottom w:val="single" w:sz="4" w:space="0" w:color="auto"/>
              <w:right w:val="single" w:sz="4" w:space="0" w:color="auto"/>
            </w:tcBorders>
            <w:shd w:val="clear" w:color="auto" w:fill="auto"/>
            <w:hideMark/>
          </w:tcPr>
          <w:p w14:paraId="06830974"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auto" w:fill="auto"/>
            <w:hideMark/>
          </w:tcPr>
          <w:p w14:paraId="6C0E4B07"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5.2.4</w:t>
            </w:r>
          </w:p>
        </w:tc>
      </w:tr>
      <w:tr w:rsidR="00973D1B" w:rsidRPr="002C579D" w14:paraId="158A1F23"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hideMark/>
          </w:tcPr>
          <w:p w14:paraId="5EAC4FD2" w14:textId="55511F5D"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R1-1800432</w:t>
            </w:r>
          </w:p>
        </w:tc>
        <w:tc>
          <w:tcPr>
            <w:tcW w:w="1180" w:type="dxa"/>
            <w:tcBorders>
              <w:top w:val="nil"/>
              <w:left w:val="nil"/>
              <w:bottom w:val="single" w:sz="4" w:space="0" w:color="auto"/>
              <w:right w:val="single" w:sz="4" w:space="0" w:color="auto"/>
            </w:tcBorders>
            <w:shd w:val="clear" w:color="000000" w:fill="D9D9D9"/>
            <w:hideMark/>
          </w:tcPr>
          <w:p w14:paraId="137F0654"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Samsung</w:t>
            </w:r>
          </w:p>
        </w:tc>
        <w:tc>
          <w:tcPr>
            <w:tcW w:w="4320" w:type="dxa"/>
            <w:tcBorders>
              <w:top w:val="nil"/>
              <w:left w:val="nil"/>
              <w:bottom w:val="single" w:sz="4" w:space="0" w:color="auto"/>
              <w:right w:val="single" w:sz="4" w:space="0" w:color="auto"/>
            </w:tcBorders>
            <w:shd w:val="clear" w:color="000000" w:fill="D9D9D9"/>
            <w:hideMark/>
          </w:tcPr>
          <w:p w14:paraId="0B229298"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Beam reporting</w:t>
            </w:r>
          </w:p>
        </w:tc>
        <w:tc>
          <w:tcPr>
            <w:tcW w:w="4380" w:type="dxa"/>
            <w:tcBorders>
              <w:top w:val="nil"/>
              <w:left w:val="nil"/>
              <w:bottom w:val="single" w:sz="4" w:space="0" w:color="auto"/>
              <w:right w:val="single" w:sz="4" w:space="0" w:color="auto"/>
            </w:tcBorders>
            <w:shd w:val="clear" w:color="000000" w:fill="D9D9D9"/>
            <w:hideMark/>
          </w:tcPr>
          <w:p w14:paraId="485E8F09"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Priority rules for reporting</w:t>
            </w:r>
          </w:p>
        </w:tc>
        <w:tc>
          <w:tcPr>
            <w:tcW w:w="1360" w:type="dxa"/>
            <w:tcBorders>
              <w:top w:val="nil"/>
              <w:left w:val="nil"/>
              <w:bottom w:val="single" w:sz="4" w:space="0" w:color="auto"/>
              <w:right w:val="single" w:sz="4" w:space="0" w:color="auto"/>
            </w:tcBorders>
            <w:shd w:val="clear" w:color="000000" w:fill="D9D9D9"/>
            <w:hideMark/>
          </w:tcPr>
          <w:p w14:paraId="6EA2207D"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5CC53B8B"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5.2.5</w:t>
            </w:r>
          </w:p>
        </w:tc>
      </w:tr>
      <w:tr w:rsidR="00973D1B" w:rsidRPr="002C579D" w14:paraId="3E6B2CFC"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hideMark/>
          </w:tcPr>
          <w:p w14:paraId="6ED93ACF" w14:textId="69DEB7E9"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R1-1800433</w:t>
            </w:r>
          </w:p>
        </w:tc>
        <w:tc>
          <w:tcPr>
            <w:tcW w:w="1180" w:type="dxa"/>
            <w:tcBorders>
              <w:top w:val="nil"/>
              <w:left w:val="nil"/>
              <w:bottom w:val="single" w:sz="4" w:space="0" w:color="auto"/>
              <w:right w:val="single" w:sz="4" w:space="0" w:color="auto"/>
            </w:tcBorders>
            <w:shd w:val="clear" w:color="000000" w:fill="D9D9D9"/>
            <w:hideMark/>
          </w:tcPr>
          <w:p w14:paraId="1EB200C7"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Samsung</w:t>
            </w:r>
          </w:p>
        </w:tc>
        <w:tc>
          <w:tcPr>
            <w:tcW w:w="4320" w:type="dxa"/>
            <w:tcBorders>
              <w:top w:val="nil"/>
              <w:left w:val="nil"/>
              <w:bottom w:val="single" w:sz="4" w:space="0" w:color="auto"/>
              <w:right w:val="single" w:sz="4" w:space="0" w:color="auto"/>
            </w:tcBorders>
            <w:shd w:val="clear" w:color="000000" w:fill="D9D9D9"/>
            <w:hideMark/>
          </w:tcPr>
          <w:p w14:paraId="2DD48339"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Beam reporting</w:t>
            </w:r>
          </w:p>
        </w:tc>
        <w:tc>
          <w:tcPr>
            <w:tcW w:w="4380" w:type="dxa"/>
            <w:tcBorders>
              <w:top w:val="nil"/>
              <w:left w:val="nil"/>
              <w:bottom w:val="single" w:sz="4" w:space="0" w:color="auto"/>
              <w:right w:val="single" w:sz="4" w:space="0" w:color="auto"/>
            </w:tcBorders>
            <w:shd w:val="clear" w:color="000000" w:fill="D9D9D9"/>
            <w:hideMark/>
          </w:tcPr>
          <w:p w14:paraId="4CBAECA3"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Aperiodic reporting on PUSCH</w:t>
            </w:r>
          </w:p>
        </w:tc>
        <w:tc>
          <w:tcPr>
            <w:tcW w:w="1360" w:type="dxa"/>
            <w:tcBorders>
              <w:top w:val="nil"/>
              <w:left w:val="nil"/>
              <w:bottom w:val="single" w:sz="4" w:space="0" w:color="auto"/>
              <w:right w:val="single" w:sz="4" w:space="0" w:color="auto"/>
            </w:tcBorders>
            <w:shd w:val="clear" w:color="000000" w:fill="D9D9D9"/>
            <w:hideMark/>
          </w:tcPr>
          <w:p w14:paraId="3A14F545"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5112198E"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5.2.5</w:t>
            </w:r>
          </w:p>
        </w:tc>
      </w:tr>
      <w:tr w:rsidR="00973D1B" w:rsidRPr="002C579D" w14:paraId="4EE8CB84" w14:textId="77777777" w:rsidTr="002C579D">
        <w:trPr>
          <w:trHeight w:val="216"/>
        </w:trPr>
        <w:tc>
          <w:tcPr>
            <w:tcW w:w="1220" w:type="dxa"/>
            <w:tcBorders>
              <w:top w:val="nil"/>
              <w:left w:val="single" w:sz="8" w:space="0" w:color="auto"/>
              <w:bottom w:val="single" w:sz="4" w:space="0" w:color="auto"/>
              <w:right w:val="single" w:sz="4" w:space="0" w:color="auto"/>
            </w:tcBorders>
            <w:shd w:val="clear" w:color="auto" w:fill="auto"/>
            <w:noWrap/>
            <w:hideMark/>
          </w:tcPr>
          <w:p w14:paraId="30A99591" w14:textId="0DECE723"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R1-1800159</w:t>
            </w:r>
          </w:p>
        </w:tc>
        <w:tc>
          <w:tcPr>
            <w:tcW w:w="1180" w:type="dxa"/>
            <w:tcBorders>
              <w:top w:val="nil"/>
              <w:left w:val="nil"/>
              <w:bottom w:val="single" w:sz="4" w:space="0" w:color="auto"/>
              <w:right w:val="single" w:sz="4" w:space="0" w:color="auto"/>
            </w:tcBorders>
            <w:shd w:val="clear" w:color="auto" w:fill="auto"/>
            <w:hideMark/>
          </w:tcPr>
          <w:p w14:paraId="74DBA33B"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proofErr w:type="spellStart"/>
            <w:r w:rsidRPr="002C579D">
              <w:rPr>
                <w:rFonts w:asciiTheme="minorHAnsi" w:hAnsiTheme="minorHAnsi"/>
                <w:color w:val="000000"/>
                <w:sz w:val="16"/>
                <w:szCs w:val="16"/>
                <w:lang w:val="en-US" w:eastAsia="en-US"/>
              </w:rPr>
              <w:t>MediaTek</w:t>
            </w:r>
            <w:proofErr w:type="spellEnd"/>
          </w:p>
        </w:tc>
        <w:tc>
          <w:tcPr>
            <w:tcW w:w="4320" w:type="dxa"/>
            <w:tcBorders>
              <w:top w:val="nil"/>
              <w:left w:val="nil"/>
              <w:bottom w:val="single" w:sz="4" w:space="0" w:color="auto"/>
              <w:right w:val="single" w:sz="4" w:space="0" w:color="auto"/>
            </w:tcBorders>
            <w:shd w:val="clear" w:color="auto" w:fill="auto"/>
            <w:hideMark/>
          </w:tcPr>
          <w:p w14:paraId="2911FA2F"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SRS configuration</w:t>
            </w:r>
          </w:p>
        </w:tc>
        <w:tc>
          <w:tcPr>
            <w:tcW w:w="4380" w:type="dxa"/>
            <w:tcBorders>
              <w:top w:val="nil"/>
              <w:left w:val="nil"/>
              <w:bottom w:val="single" w:sz="4" w:space="0" w:color="auto"/>
              <w:right w:val="single" w:sz="4" w:space="0" w:color="auto"/>
            </w:tcBorders>
            <w:shd w:val="clear" w:color="auto" w:fill="auto"/>
            <w:hideMark/>
          </w:tcPr>
          <w:p w14:paraId="31B79858"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Configuration details for aperiodic SRS triggering require specification</w:t>
            </w:r>
          </w:p>
        </w:tc>
        <w:tc>
          <w:tcPr>
            <w:tcW w:w="1360" w:type="dxa"/>
            <w:tcBorders>
              <w:top w:val="nil"/>
              <w:left w:val="nil"/>
              <w:bottom w:val="single" w:sz="4" w:space="0" w:color="auto"/>
              <w:right w:val="single" w:sz="4" w:space="0" w:color="auto"/>
            </w:tcBorders>
            <w:shd w:val="clear" w:color="auto" w:fill="auto"/>
            <w:hideMark/>
          </w:tcPr>
          <w:p w14:paraId="6B5C3571"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auto" w:fill="auto"/>
            <w:hideMark/>
          </w:tcPr>
          <w:p w14:paraId="4B7B2936"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6.1.1.2, 6.2.1</w:t>
            </w:r>
          </w:p>
        </w:tc>
      </w:tr>
      <w:tr w:rsidR="00973D1B" w:rsidRPr="002C579D" w14:paraId="55C7413B"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hideMark/>
          </w:tcPr>
          <w:p w14:paraId="53D46B0E" w14:textId="1393C654"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R1-1800159</w:t>
            </w:r>
          </w:p>
        </w:tc>
        <w:tc>
          <w:tcPr>
            <w:tcW w:w="1180" w:type="dxa"/>
            <w:tcBorders>
              <w:top w:val="nil"/>
              <w:left w:val="nil"/>
              <w:bottom w:val="single" w:sz="4" w:space="0" w:color="auto"/>
              <w:right w:val="single" w:sz="4" w:space="0" w:color="auto"/>
            </w:tcBorders>
            <w:shd w:val="clear" w:color="000000" w:fill="D9D9D9"/>
            <w:hideMark/>
          </w:tcPr>
          <w:p w14:paraId="171BEBB4"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proofErr w:type="spellStart"/>
            <w:r w:rsidRPr="002C579D">
              <w:rPr>
                <w:rFonts w:asciiTheme="minorHAnsi" w:hAnsiTheme="minorHAnsi"/>
                <w:color w:val="000000"/>
                <w:sz w:val="16"/>
                <w:szCs w:val="16"/>
                <w:lang w:val="en-US" w:eastAsia="en-US"/>
              </w:rPr>
              <w:t>MediaTek</w:t>
            </w:r>
            <w:proofErr w:type="spellEnd"/>
          </w:p>
        </w:tc>
        <w:tc>
          <w:tcPr>
            <w:tcW w:w="4320" w:type="dxa"/>
            <w:tcBorders>
              <w:top w:val="nil"/>
              <w:left w:val="nil"/>
              <w:bottom w:val="single" w:sz="4" w:space="0" w:color="auto"/>
              <w:right w:val="single" w:sz="4" w:space="0" w:color="auto"/>
            </w:tcBorders>
            <w:shd w:val="clear" w:color="000000" w:fill="D9D9D9"/>
            <w:hideMark/>
          </w:tcPr>
          <w:p w14:paraId="252E1649"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SRS configuration</w:t>
            </w:r>
          </w:p>
        </w:tc>
        <w:tc>
          <w:tcPr>
            <w:tcW w:w="4380" w:type="dxa"/>
            <w:tcBorders>
              <w:top w:val="nil"/>
              <w:left w:val="nil"/>
              <w:bottom w:val="single" w:sz="4" w:space="0" w:color="auto"/>
              <w:right w:val="single" w:sz="4" w:space="0" w:color="auto"/>
            </w:tcBorders>
            <w:shd w:val="clear" w:color="000000" w:fill="D9D9D9"/>
            <w:hideMark/>
          </w:tcPr>
          <w:p w14:paraId="7419A357"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 xml:space="preserve">Configuration details for non-codebook based UL precoding require specification </w:t>
            </w:r>
          </w:p>
        </w:tc>
        <w:tc>
          <w:tcPr>
            <w:tcW w:w="1360" w:type="dxa"/>
            <w:tcBorders>
              <w:top w:val="nil"/>
              <w:left w:val="nil"/>
              <w:bottom w:val="single" w:sz="4" w:space="0" w:color="auto"/>
              <w:right w:val="single" w:sz="4" w:space="0" w:color="auto"/>
            </w:tcBorders>
            <w:shd w:val="clear" w:color="000000" w:fill="D9D9D9"/>
            <w:hideMark/>
          </w:tcPr>
          <w:p w14:paraId="169C42FC"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03C27320"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6.2.1</w:t>
            </w:r>
          </w:p>
        </w:tc>
      </w:tr>
      <w:tr w:rsidR="00973D1B" w:rsidRPr="002C579D" w14:paraId="09F00B8A"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hideMark/>
          </w:tcPr>
          <w:p w14:paraId="581E4D86" w14:textId="049DC5ED"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R1-1800159</w:t>
            </w:r>
          </w:p>
        </w:tc>
        <w:tc>
          <w:tcPr>
            <w:tcW w:w="1180" w:type="dxa"/>
            <w:tcBorders>
              <w:top w:val="nil"/>
              <w:left w:val="nil"/>
              <w:bottom w:val="single" w:sz="4" w:space="0" w:color="auto"/>
              <w:right w:val="single" w:sz="4" w:space="0" w:color="auto"/>
            </w:tcBorders>
            <w:shd w:val="clear" w:color="000000" w:fill="D9D9D9"/>
            <w:hideMark/>
          </w:tcPr>
          <w:p w14:paraId="1D90E666"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proofErr w:type="spellStart"/>
            <w:r w:rsidRPr="002C579D">
              <w:rPr>
                <w:rFonts w:asciiTheme="minorHAnsi" w:hAnsiTheme="minorHAnsi"/>
                <w:color w:val="000000"/>
                <w:sz w:val="16"/>
                <w:szCs w:val="16"/>
                <w:lang w:val="en-US" w:eastAsia="en-US"/>
              </w:rPr>
              <w:t>MediaTek</w:t>
            </w:r>
            <w:proofErr w:type="spellEnd"/>
          </w:p>
        </w:tc>
        <w:tc>
          <w:tcPr>
            <w:tcW w:w="4320" w:type="dxa"/>
            <w:tcBorders>
              <w:top w:val="nil"/>
              <w:left w:val="nil"/>
              <w:bottom w:val="single" w:sz="4" w:space="0" w:color="auto"/>
              <w:right w:val="single" w:sz="4" w:space="0" w:color="auto"/>
            </w:tcBorders>
            <w:shd w:val="clear" w:color="000000" w:fill="D9D9D9"/>
            <w:hideMark/>
          </w:tcPr>
          <w:p w14:paraId="5AE38CED"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UL beam indication</w:t>
            </w:r>
          </w:p>
        </w:tc>
        <w:tc>
          <w:tcPr>
            <w:tcW w:w="4380" w:type="dxa"/>
            <w:tcBorders>
              <w:top w:val="nil"/>
              <w:left w:val="nil"/>
              <w:bottom w:val="single" w:sz="4" w:space="0" w:color="auto"/>
              <w:right w:val="single" w:sz="4" w:space="0" w:color="auto"/>
            </w:tcBorders>
            <w:shd w:val="clear" w:color="000000" w:fill="D9D9D9"/>
            <w:hideMark/>
          </w:tcPr>
          <w:p w14:paraId="66A250F0"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UE behavior when SRS-</w:t>
            </w:r>
            <w:proofErr w:type="spellStart"/>
            <w:r w:rsidRPr="002C579D">
              <w:rPr>
                <w:rFonts w:asciiTheme="minorHAnsi" w:hAnsiTheme="minorHAnsi"/>
                <w:color w:val="000000"/>
                <w:sz w:val="16"/>
                <w:szCs w:val="16"/>
                <w:lang w:val="en-US" w:eastAsia="en-US"/>
              </w:rPr>
              <w:t>SpatialRelationInfo</w:t>
            </w:r>
            <w:proofErr w:type="spellEnd"/>
            <w:r w:rsidRPr="002C579D">
              <w:rPr>
                <w:rFonts w:asciiTheme="minorHAnsi" w:hAnsiTheme="minorHAnsi"/>
                <w:color w:val="000000"/>
                <w:sz w:val="16"/>
                <w:szCs w:val="16"/>
                <w:lang w:val="en-US" w:eastAsia="en-US"/>
              </w:rPr>
              <w:t xml:space="preserve"> not configured is undefined</w:t>
            </w:r>
          </w:p>
        </w:tc>
        <w:tc>
          <w:tcPr>
            <w:tcW w:w="1360" w:type="dxa"/>
            <w:tcBorders>
              <w:top w:val="nil"/>
              <w:left w:val="nil"/>
              <w:bottom w:val="single" w:sz="4" w:space="0" w:color="auto"/>
              <w:right w:val="single" w:sz="4" w:space="0" w:color="auto"/>
            </w:tcBorders>
            <w:shd w:val="clear" w:color="000000" w:fill="D9D9D9"/>
            <w:hideMark/>
          </w:tcPr>
          <w:p w14:paraId="7C07F627"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587B36BE"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6.2.1</w:t>
            </w:r>
          </w:p>
        </w:tc>
      </w:tr>
      <w:tr w:rsidR="00973D1B" w:rsidRPr="002C579D" w14:paraId="5986050D"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hideMark/>
          </w:tcPr>
          <w:p w14:paraId="58F771EA" w14:textId="343ECC18"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R1-1800159</w:t>
            </w:r>
          </w:p>
        </w:tc>
        <w:tc>
          <w:tcPr>
            <w:tcW w:w="1180" w:type="dxa"/>
            <w:tcBorders>
              <w:top w:val="nil"/>
              <w:left w:val="nil"/>
              <w:bottom w:val="single" w:sz="4" w:space="0" w:color="auto"/>
              <w:right w:val="single" w:sz="4" w:space="0" w:color="auto"/>
            </w:tcBorders>
            <w:shd w:val="clear" w:color="000000" w:fill="D9D9D9"/>
            <w:hideMark/>
          </w:tcPr>
          <w:p w14:paraId="27DA1479"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proofErr w:type="spellStart"/>
            <w:r w:rsidRPr="002C579D">
              <w:rPr>
                <w:rFonts w:asciiTheme="minorHAnsi" w:hAnsiTheme="minorHAnsi"/>
                <w:color w:val="000000"/>
                <w:sz w:val="16"/>
                <w:szCs w:val="16"/>
                <w:lang w:val="en-US" w:eastAsia="en-US"/>
              </w:rPr>
              <w:t>MediaTek</w:t>
            </w:r>
            <w:proofErr w:type="spellEnd"/>
          </w:p>
        </w:tc>
        <w:tc>
          <w:tcPr>
            <w:tcW w:w="4320" w:type="dxa"/>
            <w:tcBorders>
              <w:top w:val="nil"/>
              <w:left w:val="nil"/>
              <w:bottom w:val="single" w:sz="4" w:space="0" w:color="auto"/>
              <w:right w:val="single" w:sz="4" w:space="0" w:color="auto"/>
            </w:tcBorders>
            <w:shd w:val="clear" w:color="000000" w:fill="D9D9D9"/>
            <w:hideMark/>
          </w:tcPr>
          <w:p w14:paraId="74502019"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UL beam indication</w:t>
            </w:r>
          </w:p>
        </w:tc>
        <w:tc>
          <w:tcPr>
            <w:tcW w:w="4380" w:type="dxa"/>
            <w:tcBorders>
              <w:top w:val="nil"/>
              <w:left w:val="nil"/>
              <w:bottom w:val="single" w:sz="4" w:space="0" w:color="auto"/>
              <w:right w:val="single" w:sz="4" w:space="0" w:color="auto"/>
            </w:tcBorders>
            <w:shd w:val="clear" w:color="000000" w:fill="D9D9D9"/>
            <w:hideMark/>
          </w:tcPr>
          <w:p w14:paraId="40EC5D7D"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Conflict between different layers indicating spatial relation for SRS</w:t>
            </w:r>
          </w:p>
        </w:tc>
        <w:tc>
          <w:tcPr>
            <w:tcW w:w="1360" w:type="dxa"/>
            <w:tcBorders>
              <w:top w:val="nil"/>
              <w:left w:val="nil"/>
              <w:bottom w:val="single" w:sz="4" w:space="0" w:color="auto"/>
              <w:right w:val="single" w:sz="4" w:space="0" w:color="auto"/>
            </w:tcBorders>
            <w:shd w:val="clear" w:color="000000" w:fill="D9D9D9"/>
            <w:hideMark/>
          </w:tcPr>
          <w:p w14:paraId="46CB485F"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7FA434AE"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6.2.1</w:t>
            </w:r>
          </w:p>
        </w:tc>
      </w:tr>
      <w:tr w:rsidR="00973D1B" w:rsidRPr="002C579D" w14:paraId="1080DF43"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center"/>
            <w:hideMark/>
          </w:tcPr>
          <w:p w14:paraId="057C97B9" w14:textId="60EB4642"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lastRenderedPageBreak/>
              <w:t>R1-1800363</w:t>
            </w:r>
          </w:p>
        </w:tc>
        <w:tc>
          <w:tcPr>
            <w:tcW w:w="1180" w:type="dxa"/>
            <w:tcBorders>
              <w:top w:val="nil"/>
              <w:left w:val="nil"/>
              <w:bottom w:val="single" w:sz="4" w:space="0" w:color="auto"/>
              <w:right w:val="single" w:sz="4" w:space="0" w:color="auto"/>
            </w:tcBorders>
            <w:shd w:val="clear" w:color="000000" w:fill="D9D9D9"/>
            <w:hideMark/>
          </w:tcPr>
          <w:p w14:paraId="17D53913"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LG</w:t>
            </w:r>
          </w:p>
        </w:tc>
        <w:tc>
          <w:tcPr>
            <w:tcW w:w="4320" w:type="dxa"/>
            <w:tcBorders>
              <w:top w:val="nil"/>
              <w:left w:val="nil"/>
              <w:bottom w:val="single" w:sz="4" w:space="0" w:color="auto"/>
              <w:right w:val="single" w:sz="4" w:space="0" w:color="auto"/>
            </w:tcBorders>
            <w:shd w:val="clear" w:color="000000" w:fill="D9D9D9"/>
            <w:hideMark/>
          </w:tcPr>
          <w:p w14:paraId="69FB4F76"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UL beam management</w:t>
            </w:r>
          </w:p>
        </w:tc>
        <w:tc>
          <w:tcPr>
            <w:tcW w:w="4380" w:type="dxa"/>
            <w:tcBorders>
              <w:top w:val="nil"/>
              <w:left w:val="nil"/>
              <w:bottom w:val="single" w:sz="4" w:space="0" w:color="auto"/>
              <w:right w:val="single" w:sz="4" w:space="0" w:color="auto"/>
            </w:tcBorders>
            <w:shd w:val="clear" w:color="000000" w:fill="D9D9D9"/>
            <w:hideMark/>
          </w:tcPr>
          <w:p w14:paraId="69245F98"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Agreement #8 not captured completely</w:t>
            </w:r>
          </w:p>
        </w:tc>
        <w:tc>
          <w:tcPr>
            <w:tcW w:w="1360" w:type="dxa"/>
            <w:tcBorders>
              <w:top w:val="nil"/>
              <w:left w:val="nil"/>
              <w:bottom w:val="single" w:sz="4" w:space="0" w:color="auto"/>
              <w:right w:val="single" w:sz="4" w:space="0" w:color="auto"/>
            </w:tcBorders>
            <w:shd w:val="clear" w:color="000000" w:fill="D9D9D9"/>
            <w:hideMark/>
          </w:tcPr>
          <w:p w14:paraId="3374427B"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0E27309E"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6.2.1</w:t>
            </w:r>
          </w:p>
        </w:tc>
      </w:tr>
      <w:tr w:rsidR="00973D1B" w:rsidRPr="002C579D" w14:paraId="7F016AC6"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hideMark/>
          </w:tcPr>
          <w:p w14:paraId="3B01DA38" w14:textId="44187606"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R1-1800432</w:t>
            </w:r>
          </w:p>
        </w:tc>
        <w:tc>
          <w:tcPr>
            <w:tcW w:w="1180" w:type="dxa"/>
            <w:tcBorders>
              <w:top w:val="nil"/>
              <w:left w:val="nil"/>
              <w:bottom w:val="single" w:sz="4" w:space="0" w:color="auto"/>
              <w:right w:val="single" w:sz="4" w:space="0" w:color="auto"/>
            </w:tcBorders>
            <w:shd w:val="clear" w:color="000000" w:fill="D9D9D9"/>
            <w:hideMark/>
          </w:tcPr>
          <w:p w14:paraId="511D57C1"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Samsung</w:t>
            </w:r>
          </w:p>
        </w:tc>
        <w:tc>
          <w:tcPr>
            <w:tcW w:w="4320" w:type="dxa"/>
            <w:tcBorders>
              <w:top w:val="nil"/>
              <w:left w:val="nil"/>
              <w:bottom w:val="single" w:sz="4" w:space="0" w:color="auto"/>
              <w:right w:val="single" w:sz="4" w:space="0" w:color="auto"/>
            </w:tcBorders>
            <w:shd w:val="clear" w:color="000000" w:fill="D9D9D9"/>
            <w:hideMark/>
          </w:tcPr>
          <w:p w14:paraId="6DBC76E7"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UL beam management</w:t>
            </w:r>
          </w:p>
        </w:tc>
        <w:tc>
          <w:tcPr>
            <w:tcW w:w="4380" w:type="dxa"/>
            <w:tcBorders>
              <w:top w:val="nil"/>
              <w:left w:val="nil"/>
              <w:bottom w:val="single" w:sz="4" w:space="0" w:color="auto"/>
              <w:right w:val="single" w:sz="4" w:space="0" w:color="auto"/>
            </w:tcBorders>
            <w:shd w:val="clear" w:color="000000" w:fill="D9D9D9"/>
            <w:hideMark/>
          </w:tcPr>
          <w:p w14:paraId="722A7C6B"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Configuration of UL beam sweep</w:t>
            </w:r>
          </w:p>
        </w:tc>
        <w:tc>
          <w:tcPr>
            <w:tcW w:w="1360" w:type="dxa"/>
            <w:tcBorders>
              <w:top w:val="nil"/>
              <w:left w:val="nil"/>
              <w:bottom w:val="single" w:sz="4" w:space="0" w:color="auto"/>
              <w:right w:val="single" w:sz="4" w:space="0" w:color="auto"/>
            </w:tcBorders>
            <w:shd w:val="clear" w:color="000000" w:fill="D9D9D9"/>
            <w:hideMark/>
          </w:tcPr>
          <w:p w14:paraId="62F4027D"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46106BB9"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6.2.1</w:t>
            </w:r>
          </w:p>
        </w:tc>
      </w:tr>
      <w:tr w:rsidR="00973D1B" w:rsidRPr="002C579D" w14:paraId="0756D121" w14:textId="77777777" w:rsidTr="002C579D">
        <w:trPr>
          <w:trHeight w:val="216"/>
        </w:trPr>
        <w:tc>
          <w:tcPr>
            <w:tcW w:w="1220" w:type="dxa"/>
            <w:tcBorders>
              <w:top w:val="nil"/>
              <w:left w:val="single" w:sz="8" w:space="0" w:color="auto"/>
              <w:bottom w:val="single" w:sz="8" w:space="0" w:color="auto"/>
              <w:right w:val="single" w:sz="4" w:space="0" w:color="auto"/>
            </w:tcBorders>
            <w:shd w:val="clear" w:color="000000" w:fill="D9D9D9"/>
            <w:noWrap/>
            <w:hideMark/>
          </w:tcPr>
          <w:p w14:paraId="746A3493" w14:textId="6D17EA30"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R1-1800432</w:t>
            </w:r>
          </w:p>
        </w:tc>
        <w:tc>
          <w:tcPr>
            <w:tcW w:w="1180" w:type="dxa"/>
            <w:tcBorders>
              <w:top w:val="nil"/>
              <w:left w:val="nil"/>
              <w:bottom w:val="single" w:sz="8" w:space="0" w:color="auto"/>
              <w:right w:val="single" w:sz="4" w:space="0" w:color="auto"/>
            </w:tcBorders>
            <w:shd w:val="clear" w:color="000000" w:fill="D9D9D9"/>
            <w:hideMark/>
          </w:tcPr>
          <w:p w14:paraId="296FD4FA"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Samsung</w:t>
            </w:r>
          </w:p>
        </w:tc>
        <w:tc>
          <w:tcPr>
            <w:tcW w:w="4320" w:type="dxa"/>
            <w:tcBorders>
              <w:top w:val="nil"/>
              <w:left w:val="nil"/>
              <w:bottom w:val="single" w:sz="8" w:space="0" w:color="auto"/>
              <w:right w:val="single" w:sz="4" w:space="0" w:color="auto"/>
            </w:tcBorders>
            <w:shd w:val="clear" w:color="000000" w:fill="D9D9D9"/>
            <w:hideMark/>
          </w:tcPr>
          <w:p w14:paraId="424A521D"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UL beam management</w:t>
            </w:r>
          </w:p>
        </w:tc>
        <w:tc>
          <w:tcPr>
            <w:tcW w:w="4380" w:type="dxa"/>
            <w:tcBorders>
              <w:top w:val="nil"/>
              <w:left w:val="nil"/>
              <w:bottom w:val="single" w:sz="8" w:space="0" w:color="auto"/>
              <w:right w:val="single" w:sz="4" w:space="0" w:color="auto"/>
            </w:tcBorders>
            <w:shd w:val="clear" w:color="000000" w:fill="D9D9D9"/>
            <w:hideMark/>
          </w:tcPr>
          <w:p w14:paraId="383CED77"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Configuration of UL beam sweep</w:t>
            </w:r>
          </w:p>
        </w:tc>
        <w:tc>
          <w:tcPr>
            <w:tcW w:w="1360" w:type="dxa"/>
            <w:tcBorders>
              <w:top w:val="nil"/>
              <w:left w:val="nil"/>
              <w:bottom w:val="single" w:sz="8" w:space="0" w:color="auto"/>
              <w:right w:val="single" w:sz="4" w:space="0" w:color="auto"/>
            </w:tcBorders>
            <w:shd w:val="clear" w:color="000000" w:fill="D9D9D9"/>
            <w:hideMark/>
          </w:tcPr>
          <w:p w14:paraId="146EBA49"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8" w:space="0" w:color="auto"/>
              <w:right w:val="single" w:sz="8" w:space="0" w:color="auto"/>
            </w:tcBorders>
            <w:shd w:val="clear" w:color="000000" w:fill="D9D9D9"/>
            <w:hideMark/>
          </w:tcPr>
          <w:p w14:paraId="76ED4401"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6.2.1</w:t>
            </w:r>
          </w:p>
        </w:tc>
      </w:tr>
    </w:tbl>
    <w:p w14:paraId="185B2222" w14:textId="77777777" w:rsidR="003747B8" w:rsidRDefault="003747B8" w:rsidP="003F4CCC"/>
    <w:p w14:paraId="6D74B8F3" w14:textId="6F0EFDCE" w:rsidR="003F4CCC" w:rsidRDefault="00924542" w:rsidP="003F4CCC">
      <w:pPr>
        <w:pStyle w:val="Heading1"/>
      </w:pPr>
      <w:r>
        <w:t xml:space="preserve">Appendix B: </w:t>
      </w:r>
      <w:r w:rsidR="003F4CCC">
        <w:t>Prior agreements</w:t>
      </w:r>
    </w:p>
    <w:p w14:paraId="5F33D5CA" w14:textId="64A7D166" w:rsidR="003F4CCC" w:rsidRDefault="003F4CCC" w:rsidP="003F4CCC">
      <w:r>
        <w:t>In this section, a list of prior RAN1 agreements is provided which are referenced in the above text.</w:t>
      </w:r>
    </w:p>
    <w:p w14:paraId="73BD3EB7" w14:textId="77777777" w:rsidR="0043710F" w:rsidRPr="00B94F5A" w:rsidRDefault="0043710F" w:rsidP="0043710F">
      <w:pPr>
        <w:spacing w:after="0"/>
        <w:rPr>
          <w:b/>
        </w:rPr>
      </w:pPr>
      <w:r w:rsidRPr="00B94F5A">
        <w:rPr>
          <w:b/>
          <w:highlight w:val="green"/>
        </w:rPr>
        <w:t>Agreement #1</w:t>
      </w:r>
    </w:p>
    <w:p w14:paraId="3E1BE80B" w14:textId="77777777" w:rsidR="0043710F" w:rsidRPr="008105AF" w:rsidRDefault="0043710F" w:rsidP="00583BC0">
      <w:pPr>
        <w:pStyle w:val="ListParagraph"/>
        <w:numPr>
          <w:ilvl w:val="0"/>
          <w:numId w:val="11"/>
        </w:numPr>
        <w:spacing w:after="0"/>
        <w:rPr>
          <w:lang w:val="en-US"/>
        </w:rPr>
      </w:pPr>
      <w:r w:rsidRPr="008105AF">
        <w:rPr>
          <w:lang w:val="en-US"/>
        </w:rPr>
        <w:t>For non-grouping based beam reporting, support the following reports parameters:</w:t>
      </w:r>
    </w:p>
    <w:p w14:paraId="4FA1C7AF" w14:textId="77777777" w:rsidR="0043710F" w:rsidRPr="008105AF" w:rsidRDefault="0043710F" w:rsidP="00583BC0">
      <w:pPr>
        <w:pStyle w:val="ListParagraph"/>
        <w:numPr>
          <w:ilvl w:val="1"/>
          <w:numId w:val="11"/>
        </w:numPr>
        <w:spacing w:after="0"/>
        <w:rPr>
          <w:lang w:val="en-US"/>
        </w:rPr>
      </w:pPr>
      <w:r w:rsidRPr="008105AF">
        <w:rPr>
          <w:lang w:val="en-US"/>
        </w:rPr>
        <w:t xml:space="preserve">Maximal number of configured </w:t>
      </w:r>
      <w:proofErr w:type="spellStart"/>
      <w:r w:rsidRPr="008105AF">
        <w:rPr>
          <w:lang w:val="en-US"/>
        </w:rPr>
        <w:t>Tx</w:t>
      </w:r>
      <w:proofErr w:type="spellEnd"/>
      <w:r w:rsidRPr="008105AF">
        <w:rPr>
          <w:lang w:val="en-US"/>
        </w:rPr>
        <w:t xml:space="preserve"> beams for beam measurement: K equals 64</w:t>
      </w:r>
    </w:p>
    <w:p w14:paraId="0C766EAD" w14:textId="77777777" w:rsidR="0043710F" w:rsidRPr="008105AF" w:rsidRDefault="0043710F" w:rsidP="00583BC0">
      <w:pPr>
        <w:pStyle w:val="ListParagraph"/>
        <w:numPr>
          <w:ilvl w:val="1"/>
          <w:numId w:val="11"/>
        </w:numPr>
        <w:spacing w:after="0"/>
        <w:rPr>
          <w:lang w:val="en-US"/>
        </w:rPr>
      </w:pPr>
      <w:r w:rsidRPr="008105AF">
        <w:rPr>
          <w:lang w:val="en-US"/>
        </w:rPr>
        <w:t xml:space="preserve">Maximal number of configured </w:t>
      </w:r>
      <w:proofErr w:type="spellStart"/>
      <w:r w:rsidRPr="008105AF">
        <w:rPr>
          <w:lang w:val="en-US"/>
        </w:rPr>
        <w:t>Tx</w:t>
      </w:r>
      <w:proofErr w:type="spellEnd"/>
      <w:r w:rsidRPr="008105AF">
        <w:rPr>
          <w:lang w:val="en-US"/>
        </w:rPr>
        <w:t xml:space="preserve"> beams to be reported in one instance: </w:t>
      </w:r>
      <w:proofErr w:type="spellStart"/>
      <w:r w:rsidRPr="008105AF">
        <w:rPr>
          <w:lang w:val="en-US"/>
        </w:rPr>
        <w:t>N_max</w:t>
      </w:r>
      <w:proofErr w:type="spellEnd"/>
      <w:r w:rsidRPr="008105AF">
        <w:rPr>
          <w:lang w:val="en-US"/>
        </w:rPr>
        <w:t xml:space="preserve"> = 2, 4</w:t>
      </w:r>
      <w:r w:rsidRPr="008105AF">
        <w:rPr>
          <w:b/>
          <w:bCs/>
          <w:lang w:val="en-US"/>
        </w:rPr>
        <w:t xml:space="preserve">  </w:t>
      </w:r>
      <w:r w:rsidRPr="008105AF">
        <w:rPr>
          <w:lang w:val="en-US"/>
        </w:rPr>
        <w:t>where a subset of N (N&lt;=</w:t>
      </w:r>
      <w:proofErr w:type="spellStart"/>
      <w:r w:rsidRPr="008105AF">
        <w:rPr>
          <w:lang w:val="en-US"/>
        </w:rPr>
        <w:t>N_max</w:t>
      </w:r>
      <w:proofErr w:type="spellEnd"/>
      <w:r w:rsidRPr="008105AF">
        <w:rPr>
          <w:lang w:val="en-US"/>
        </w:rPr>
        <w:t xml:space="preserve"> where N = 1, 2, 4) beams can be selected by the </w:t>
      </w:r>
      <w:proofErr w:type="spellStart"/>
      <w:r w:rsidRPr="008105AF">
        <w:rPr>
          <w:lang w:val="en-US"/>
        </w:rPr>
        <w:t>gNB</w:t>
      </w:r>
      <w:proofErr w:type="spellEnd"/>
      <w:r w:rsidRPr="008105AF">
        <w:rPr>
          <w:lang w:val="en-US"/>
        </w:rPr>
        <w:t xml:space="preserve"> and indicated to the UE (FFS signaling mechanism)</w:t>
      </w:r>
    </w:p>
    <w:p w14:paraId="36809E1E" w14:textId="77777777" w:rsidR="0043710F" w:rsidRPr="008105AF" w:rsidRDefault="0043710F" w:rsidP="00583BC0">
      <w:pPr>
        <w:pStyle w:val="ListParagraph"/>
        <w:numPr>
          <w:ilvl w:val="1"/>
          <w:numId w:val="11"/>
        </w:numPr>
        <w:spacing w:after="0"/>
        <w:rPr>
          <w:lang w:val="en-US"/>
        </w:rPr>
      </w:pPr>
      <w:r w:rsidRPr="008105AF">
        <w:rPr>
          <w:lang w:val="en-US"/>
        </w:rPr>
        <w:t xml:space="preserve">Reporting differential L1-RSRP when multiple beams are reported in one reporting instance. Reference is the largest L1-RSRP in that reporting instance. FFS other reference for differential reporting. </w:t>
      </w:r>
    </w:p>
    <w:p w14:paraId="7F3EB25F" w14:textId="77777777" w:rsidR="0043710F" w:rsidRPr="008105AF" w:rsidRDefault="0043710F" w:rsidP="00583BC0">
      <w:pPr>
        <w:pStyle w:val="ListParagraph"/>
        <w:numPr>
          <w:ilvl w:val="2"/>
          <w:numId w:val="11"/>
        </w:numPr>
        <w:spacing w:after="0"/>
        <w:rPr>
          <w:lang w:val="en-US"/>
        </w:rPr>
      </w:pPr>
      <w:r w:rsidRPr="008105AF">
        <w:rPr>
          <w:lang w:val="en-US"/>
        </w:rPr>
        <w:t xml:space="preserve">FFS applicable reporting channels and number of beams, and associated reporting contents </w:t>
      </w:r>
    </w:p>
    <w:p w14:paraId="234DDFAC" w14:textId="77777777" w:rsidR="0043710F" w:rsidRPr="008105AF" w:rsidRDefault="0043710F" w:rsidP="00583BC0">
      <w:pPr>
        <w:pStyle w:val="ListParagraph"/>
        <w:numPr>
          <w:ilvl w:val="2"/>
          <w:numId w:val="11"/>
        </w:numPr>
        <w:spacing w:after="0"/>
        <w:rPr>
          <w:lang w:val="en-US"/>
        </w:rPr>
      </w:pPr>
      <w:r w:rsidRPr="008105AF">
        <w:rPr>
          <w:lang w:val="en-US"/>
        </w:rPr>
        <w:t>FFS: the UE adjusts the L1-RSRP of multiple RS resources according to the power offset between them</w:t>
      </w:r>
    </w:p>
    <w:p w14:paraId="7D8A9861" w14:textId="77777777" w:rsidR="0043710F" w:rsidRPr="008105AF" w:rsidRDefault="0043710F" w:rsidP="00583BC0">
      <w:pPr>
        <w:pStyle w:val="ListParagraph"/>
        <w:numPr>
          <w:ilvl w:val="1"/>
          <w:numId w:val="11"/>
        </w:numPr>
        <w:spacing w:after="0"/>
        <w:rPr>
          <w:lang w:val="en-US"/>
        </w:rPr>
      </w:pPr>
      <w:r w:rsidRPr="008105AF">
        <w:rPr>
          <w:lang w:val="en-US"/>
        </w:rPr>
        <w:t xml:space="preserve">Bit-width: 7bit for L1-RSRP ranging from -140dBm to -44dBm with 1dB stepping size (analogous with LTE) and 4bit for differential L1-RSRP </w:t>
      </w:r>
    </w:p>
    <w:p w14:paraId="4904CBB5" w14:textId="77777777" w:rsidR="0043710F" w:rsidRPr="008105AF" w:rsidRDefault="0043710F" w:rsidP="00583BC0">
      <w:pPr>
        <w:pStyle w:val="ListParagraph"/>
        <w:numPr>
          <w:ilvl w:val="2"/>
          <w:numId w:val="11"/>
        </w:numPr>
        <w:spacing w:after="0"/>
        <w:rPr>
          <w:lang w:val="en-US"/>
        </w:rPr>
      </w:pPr>
      <w:r w:rsidRPr="008105AF">
        <w:rPr>
          <w:lang w:val="en-US"/>
        </w:rPr>
        <w:t xml:space="preserve">FFS stepping size of differential quantization </w:t>
      </w:r>
    </w:p>
    <w:p w14:paraId="5807AC01" w14:textId="77777777" w:rsidR="0043710F" w:rsidRDefault="0043710F" w:rsidP="0043710F">
      <w:pPr>
        <w:spacing w:after="0"/>
      </w:pPr>
    </w:p>
    <w:p w14:paraId="395E869E" w14:textId="77777777" w:rsidR="0043710F" w:rsidRPr="00B94F5A" w:rsidRDefault="0043710F" w:rsidP="0043710F">
      <w:pPr>
        <w:spacing w:after="0"/>
        <w:rPr>
          <w:b/>
          <w:highlight w:val="green"/>
        </w:rPr>
      </w:pPr>
      <w:r w:rsidRPr="00B94F5A">
        <w:rPr>
          <w:b/>
          <w:highlight w:val="green"/>
        </w:rPr>
        <w:t>Agreement #2</w:t>
      </w:r>
    </w:p>
    <w:p w14:paraId="7A5F3695" w14:textId="77777777" w:rsidR="0043710F" w:rsidRPr="00437F52" w:rsidRDefault="0043710F" w:rsidP="00583BC0">
      <w:pPr>
        <w:pStyle w:val="bullet1"/>
        <w:numPr>
          <w:ilvl w:val="0"/>
          <w:numId w:val="13"/>
        </w:numPr>
        <w:rPr>
          <w:rFonts w:ascii="Times New Roman" w:hAnsi="Times New Roman"/>
          <w:sz w:val="21"/>
          <w:szCs w:val="21"/>
          <w:lang w:val="en-US"/>
        </w:rPr>
      </w:pPr>
      <w:r w:rsidRPr="00437F52">
        <w:rPr>
          <w:rFonts w:ascii="Times New Roman" w:hAnsi="Times New Roman"/>
          <w:sz w:val="21"/>
          <w:szCs w:val="21"/>
          <w:lang w:val="en-US"/>
        </w:rPr>
        <w:t>A candidate set of DL RSs are configured using RRC mechanism</w:t>
      </w:r>
    </w:p>
    <w:p w14:paraId="31BDF481" w14:textId="77777777" w:rsidR="0043710F" w:rsidRPr="00437F52" w:rsidRDefault="0043710F" w:rsidP="00583BC0">
      <w:pPr>
        <w:pStyle w:val="bullet2"/>
        <w:numPr>
          <w:ilvl w:val="1"/>
          <w:numId w:val="13"/>
        </w:numPr>
        <w:rPr>
          <w:rFonts w:ascii="Times New Roman" w:hAnsi="Times New Roman"/>
          <w:sz w:val="21"/>
          <w:szCs w:val="21"/>
          <w:lang w:val="en-US"/>
        </w:rPr>
      </w:pPr>
      <w:r w:rsidRPr="00437F52">
        <w:rPr>
          <w:rFonts w:ascii="Times New Roman" w:hAnsi="Times New Roman"/>
          <w:sz w:val="21"/>
          <w:szCs w:val="21"/>
          <w:lang w:val="en-US"/>
        </w:rPr>
        <w:t>Each state of M TCI states is RRC configured with a downlink RS set used as a QCL reference, and MAC-CE is used to select up to 2^N TCI states out of M for PDSCH QCL indication</w:t>
      </w:r>
    </w:p>
    <w:p w14:paraId="5F59D4CC" w14:textId="77777777" w:rsidR="0043710F" w:rsidRPr="00437F52" w:rsidRDefault="0043710F" w:rsidP="00583BC0">
      <w:pPr>
        <w:pStyle w:val="bullet3"/>
        <w:numPr>
          <w:ilvl w:val="2"/>
          <w:numId w:val="13"/>
        </w:numPr>
        <w:rPr>
          <w:rFonts w:ascii="Times New Roman" w:hAnsi="Times New Roman"/>
          <w:sz w:val="21"/>
          <w:szCs w:val="21"/>
          <w:lang w:val="en-US"/>
        </w:rPr>
      </w:pPr>
      <w:r w:rsidRPr="00437F52">
        <w:rPr>
          <w:rFonts w:ascii="Times New Roman" w:hAnsi="Times New Roman"/>
          <w:sz w:val="21"/>
          <w:szCs w:val="21"/>
          <w:lang w:val="en-US"/>
        </w:rPr>
        <w:t>The same set of M TCI states are reused for CORESET</w:t>
      </w:r>
    </w:p>
    <w:p w14:paraId="14459172" w14:textId="77777777" w:rsidR="0043710F" w:rsidRPr="00437F52" w:rsidRDefault="0043710F" w:rsidP="00583BC0">
      <w:pPr>
        <w:pStyle w:val="bullet3"/>
        <w:numPr>
          <w:ilvl w:val="2"/>
          <w:numId w:val="13"/>
        </w:numPr>
        <w:rPr>
          <w:rFonts w:ascii="Times New Roman" w:hAnsi="Times New Roman"/>
          <w:sz w:val="21"/>
          <w:szCs w:val="21"/>
          <w:lang w:val="en-US"/>
        </w:rPr>
      </w:pPr>
      <w:r w:rsidRPr="00437F52">
        <w:rPr>
          <w:rFonts w:ascii="Times New Roman" w:hAnsi="Times New Roman"/>
          <w:sz w:val="21"/>
          <w:szCs w:val="21"/>
          <w:lang w:val="en-US"/>
        </w:rPr>
        <w:t xml:space="preserve">K TCI states are configured per CORESET </w:t>
      </w:r>
    </w:p>
    <w:p w14:paraId="4BE97524" w14:textId="77777777" w:rsidR="0043710F" w:rsidRDefault="0043710F" w:rsidP="00583BC0">
      <w:pPr>
        <w:pStyle w:val="bullet3"/>
        <w:numPr>
          <w:ilvl w:val="2"/>
          <w:numId w:val="13"/>
        </w:numPr>
        <w:rPr>
          <w:rFonts w:ascii="Times New Roman" w:hAnsi="Times New Roman"/>
          <w:sz w:val="21"/>
          <w:szCs w:val="21"/>
          <w:lang w:val="en-US"/>
        </w:rPr>
      </w:pPr>
      <w:r w:rsidRPr="00437F52">
        <w:rPr>
          <w:rFonts w:ascii="Times New Roman" w:hAnsi="Times New Roman"/>
          <w:sz w:val="21"/>
          <w:szCs w:val="21"/>
          <w:lang w:val="en-US"/>
        </w:rPr>
        <w:t>When K&gt;1, MAC CE can indicate which one TCI state to use for control channel QCL indication</w:t>
      </w:r>
    </w:p>
    <w:p w14:paraId="563FBECB" w14:textId="77777777" w:rsidR="0043710F" w:rsidRDefault="0043710F" w:rsidP="00583BC0">
      <w:pPr>
        <w:pStyle w:val="bullet3"/>
        <w:numPr>
          <w:ilvl w:val="2"/>
          <w:numId w:val="13"/>
        </w:numPr>
        <w:rPr>
          <w:rFonts w:ascii="Times New Roman" w:hAnsi="Times New Roman"/>
          <w:sz w:val="21"/>
          <w:szCs w:val="21"/>
          <w:lang w:val="en-US"/>
        </w:rPr>
      </w:pPr>
      <w:r w:rsidRPr="003F1343">
        <w:rPr>
          <w:rFonts w:ascii="Times New Roman" w:hAnsi="Times New Roman"/>
          <w:sz w:val="21"/>
          <w:szCs w:val="21"/>
          <w:lang w:val="en-US"/>
        </w:rPr>
        <w:t>When K=1, no additional MAC CE signaling is necessary</w:t>
      </w:r>
    </w:p>
    <w:p w14:paraId="66874DFB" w14:textId="77777777" w:rsidR="0043710F" w:rsidRPr="003F1343" w:rsidRDefault="0043710F" w:rsidP="0043710F">
      <w:pPr>
        <w:pStyle w:val="bullet3"/>
        <w:numPr>
          <w:ilvl w:val="0"/>
          <w:numId w:val="0"/>
        </w:numPr>
        <w:ind w:left="2160" w:hanging="360"/>
        <w:rPr>
          <w:rFonts w:ascii="Times New Roman" w:hAnsi="Times New Roman"/>
          <w:i/>
          <w:sz w:val="21"/>
          <w:szCs w:val="21"/>
          <w:lang w:val="en-US"/>
        </w:rPr>
      </w:pPr>
    </w:p>
    <w:p w14:paraId="6FC78706" w14:textId="77777777" w:rsidR="0043710F" w:rsidRPr="00B94F5A" w:rsidRDefault="0043710F" w:rsidP="0043710F">
      <w:pPr>
        <w:spacing w:after="0"/>
        <w:rPr>
          <w:b/>
          <w:highlight w:val="green"/>
        </w:rPr>
      </w:pPr>
      <w:r w:rsidRPr="00B94F5A">
        <w:rPr>
          <w:b/>
          <w:highlight w:val="green"/>
        </w:rPr>
        <w:t>Agreement #3</w:t>
      </w:r>
    </w:p>
    <w:p w14:paraId="5493E026" w14:textId="77777777" w:rsidR="0043710F" w:rsidRPr="00437F52" w:rsidRDefault="0043710F" w:rsidP="00583BC0">
      <w:pPr>
        <w:pStyle w:val="ListParagraph"/>
        <w:numPr>
          <w:ilvl w:val="0"/>
          <w:numId w:val="13"/>
        </w:numPr>
        <w:spacing w:after="0"/>
      </w:pPr>
      <w:r w:rsidRPr="00437F52">
        <w:rPr>
          <w:bCs/>
        </w:rPr>
        <w:t xml:space="preserve">When the scheduling offset is &lt;=k, and the PDSCH uses QCL assumption that is based on a default TCI state </w:t>
      </w:r>
    </w:p>
    <w:p w14:paraId="480AEC18" w14:textId="77777777" w:rsidR="0043710F" w:rsidRDefault="0043710F" w:rsidP="00583BC0">
      <w:pPr>
        <w:pStyle w:val="ListParagraph"/>
        <w:numPr>
          <w:ilvl w:val="1"/>
          <w:numId w:val="13"/>
        </w:numPr>
        <w:spacing w:after="0"/>
      </w:pPr>
      <w:r w:rsidRPr="00080DAF">
        <w:rPr>
          <w:bCs/>
        </w:rPr>
        <w:t>The default TCI state corresponds to the TCI state used for control channel QCL indication for the lowest CORESET ID in that slot</w:t>
      </w:r>
    </w:p>
    <w:p w14:paraId="661029D6" w14:textId="77777777" w:rsidR="0043710F" w:rsidRPr="00B94F5A" w:rsidRDefault="0043710F" w:rsidP="0043710F">
      <w:pPr>
        <w:spacing w:after="0"/>
        <w:rPr>
          <w:b/>
          <w:highlight w:val="green"/>
        </w:rPr>
      </w:pPr>
      <w:r w:rsidRPr="00B94F5A">
        <w:rPr>
          <w:b/>
          <w:highlight w:val="green"/>
        </w:rPr>
        <w:t>Agreement #4</w:t>
      </w:r>
    </w:p>
    <w:p w14:paraId="1521DDC6" w14:textId="77777777" w:rsidR="0043710F" w:rsidRPr="006412D6" w:rsidRDefault="0043710F" w:rsidP="00583BC0">
      <w:pPr>
        <w:numPr>
          <w:ilvl w:val="0"/>
          <w:numId w:val="13"/>
        </w:numPr>
        <w:overflowPunct/>
        <w:autoSpaceDE/>
        <w:autoSpaceDN/>
        <w:adjustRightInd/>
        <w:spacing w:after="0"/>
        <w:jc w:val="left"/>
        <w:textAlignment w:val="auto"/>
        <w:rPr>
          <w:lang w:val="en-US"/>
        </w:rPr>
      </w:pPr>
      <w:r w:rsidRPr="006412D6">
        <w:rPr>
          <w:lang w:val="en-US"/>
        </w:rPr>
        <w:t xml:space="preserve">For L1-RSRP and/or beam resource indicators (e.g. CRI or SSB index) reporting for beam management, support the following UL channels: </w:t>
      </w:r>
    </w:p>
    <w:p w14:paraId="4F459F0A" w14:textId="77777777" w:rsidR="0043710F" w:rsidRPr="006412D6" w:rsidRDefault="0043710F" w:rsidP="00583BC0">
      <w:pPr>
        <w:numPr>
          <w:ilvl w:val="1"/>
          <w:numId w:val="13"/>
        </w:numPr>
        <w:overflowPunct/>
        <w:autoSpaceDE/>
        <w:autoSpaceDN/>
        <w:adjustRightInd/>
        <w:spacing w:after="0"/>
        <w:jc w:val="left"/>
        <w:textAlignment w:val="auto"/>
        <w:rPr>
          <w:lang w:val="en-US"/>
        </w:rPr>
      </w:pPr>
      <w:r w:rsidRPr="006412D6">
        <w:rPr>
          <w:lang w:val="en-US"/>
        </w:rPr>
        <w:t>Short/long PUCCH</w:t>
      </w:r>
    </w:p>
    <w:p w14:paraId="3CF31F9F" w14:textId="77777777" w:rsidR="0043710F" w:rsidRPr="006412D6" w:rsidRDefault="0043710F" w:rsidP="00583BC0">
      <w:pPr>
        <w:numPr>
          <w:ilvl w:val="1"/>
          <w:numId w:val="13"/>
        </w:numPr>
        <w:overflowPunct/>
        <w:autoSpaceDE/>
        <w:autoSpaceDN/>
        <w:adjustRightInd/>
        <w:spacing w:after="0"/>
        <w:jc w:val="left"/>
        <w:textAlignment w:val="auto"/>
        <w:rPr>
          <w:lang w:val="en-US"/>
        </w:rPr>
      </w:pPr>
      <w:r w:rsidRPr="006412D6">
        <w:rPr>
          <w:lang w:val="en-US"/>
        </w:rPr>
        <w:t>PUSCH</w:t>
      </w:r>
    </w:p>
    <w:p w14:paraId="5610DA32" w14:textId="77777777" w:rsidR="0043710F" w:rsidRPr="006412D6" w:rsidRDefault="0043710F" w:rsidP="00583BC0">
      <w:pPr>
        <w:numPr>
          <w:ilvl w:val="0"/>
          <w:numId w:val="13"/>
        </w:numPr>
        <w:overflowPunct/>
        <w:autoSpaceDE/>
        <w:autoSpaceDN/>
        <w:adjustRightInd/>
        <w:spacing w:after="0"/>
        <w:jc w:val="left"/>
        <w:textAlignment w:val="auto"/>
        <w:rPr>
          <w:lang w:val="en-US"/>
        </w:rPr>
      </w:pPr>
      <w:r w:rsidRPr="006412D6">
        <w:rPr>
          <w:lang w:val="en-US"/>
        </w:rPr>
        <w:t>Support the following reporting types for beam mgmt. on the above channels</w:t>
      </w:r>
    </w:p>
    <w:p w14:paraId="5F8F9C49" w14:textId="77777777" w:rsidR="0043710F" w:rsidRPr="006412D6" w:rsidRDefault="0043710F" w:rsidP="00583BC0">
      <w:pPr>
        <w:numPr>
          <w:ilvl w:val="1"/>
          <w:numId w:val="13"/>
        </w:numPr>
        <w:overflowPunct/>
        <w:autoSpaceDE/>
        <w:autoSpaceDN/>
        <w:adjustRightInd/>
        <w:spacing w:after="0"/>
        <w:jc w:val="left"/>
        <w:textAlignment w:val="auto"/>
        <w:rPr>
          <w:lang w:val="en-US"/>
        </w:rPr>
      </w:pPr>
      <w:r w:rsidRPr="006412D6">
        <w:rPr>
          <w:lang w:val="en-US"/>
        </w:rPr>
        <w:t>For Periodic, support long PUCCH and short PUCCH</w:t>
      </w:r>
    </w:p>
    <w:p w14:paraId="236B7A7B" w14:textId="77777777" w:rsidR="0043710F" w:rsidRPr="006412D6" w:rsidRDefault="0043710F" w:rsidP="00583BC0">
      <w:pPr>
        <w:numPr>
          <w:ilvl w:val="1"/>
          <w:numId w:val="13"/>
        </w:numPr>
        <w:overflowPunct/>
        <w:autoSpaceDE/>
        <w:autoSpaceDN/>
        <w:adjustRightInd/>
        <w:spacing w:after="0"/>
        <w:jc w:val="left"/>
        <w:textAlignment w:val="auto"/>
        <w:rPr>
          <w:lang w:val="en-US"/>
        </w:rPr>
      </w:pPr>
      <w:r w:rsidRPr="006412D6">
        <w:rPr>
          <w:lang w:val="en-US"/>
        </w:rPr>
        <w:t>Semi-persistent – support all channels</w:t>
      </w:r>
    </w:p>
    <w:p w14:paraId="6D4691FA" w14:textId="77777777" w:rsidR="0043710F" w:rsidRPr="006412D6" w:rsidRDefault="0043710F" w:rsidP="00583BC0">
      <w:pPr>
        <w:numPr>
          <w:ilvl w:val="1"/>
          <w:numId w:val="13"/>
        </w:numPr>
        <w:overflowPunct/>
        <w:autoSpaceDE/>
        <w:autoSpaceDN/>
        <w:adjustRightInd/>
        <w:spacing w:after="0"/>
        <w:jc w:val="left"/>
        <w:textAlignment w:val="auto"/>
        <w:rPr>
          <w:lang w:val="en-US"/>
        </w:rPr>
      </w:pPr>
      <w:r w:rsidRPr="006412D6">
        <w:rPr>
          <w:lang w:val="en-US"/>
        </w:rPr>
        <w:t>Aperiodic – support PUSCH and short PUCCH</w:t>
      </w:r>
    </w:p>
    <w:p w14:paraId="475B2718" w14:textId="77777777" w:rsidR="0043710F" w:rsidRDefault="0043710F" w:rsidP="0043710F">
      <w:pPr>
        <w:spacing w:after="0"/>
      </w:pPr>
    </w:p>
    <w:p w14:paraId="0EF7A68D" w14:textId="77777777" w:rsidR="0043710F" w:rsidRPr="00B94F5A" w:rsidRDefault="0043710F" w:rsidP="0043710F">
      <w:pPr>
        <w:spacing w:after="0"/>
        <w:rPr>
          <w:b/>
          <w:highlight w:val="green"/>
        </w:rPr>
      </w:pPr>
      <w:r w:rsidRPr="00B94F5A">
        <w:rPr>
          <w:b/>
          <w:highlight w:val="green"/>
        </w:rPr>
        <w:t>Agreement #5</w:t>
      </w:r>
    </w:p>
    <w:p w14:paraId="4DBD391A" w14:textId="77777777" w:rsidR="0043710F" w:rsidRDefault="0043710F" w:rsidP="00583BC0">
      <w:pPr>
        <w:pStyle w:val="ListParagraph"/>
        <w:numPr>
          <w:ilvl w:val="0"/>
          <w:numId w:val="14"/>
        </w:numPr>
        <w:spacing w:after="0"/>
      </w:pPr>
      <w:r w:rsidRPr="00F90855">
        <w:lastRenderedPageBreak/>
        <w:t>Support Alt#1 for SSB: configuration of SSB resources within a resource setting for beam management. L1-RSRP measurement on those configured resources is reported.</w:t>
      </w:r>
    </w:p>
    <w:p w14:paraId="6F447807" w14:textId="77777777" w:rsidR="0043710F" w:rsidRDefault="0043710F" w:rsidP="0043710F">
      <w:pPr>
        <w:spacing w:after="0"/>
      </w:pPr>
    </w:p>
    <w:p w14:paraId="30BD9FBA" w14:textId="77777777" w:rsidR="0043710F" w:rsidRPr="00B94F5A" w:rsidRDefault="0043710F" w:rsidP="0043710F">
      <w:pPr>
        <w:spacing w:after="0"/>
        <w:rPr>
          <w:b/>
          <w:highlight w:val="green"/>
        </w:rPr>
      </w:pPr>
      <w:r w:rsidRPr="00B94F5A">
        <w:rPr>
          <w:b/>
          <w:highlight w:val="green"/>
        </w:rPr>
        <w:t>Agreement #6</w:t>
      </w:r>
    </w:p>
    <w:p w14:paraId="75A56DB8" w14:textId="77777777" w:rsidR="0043710F" w:rsidRPr="00FF3ECB" w:rsidRDefault="0043710F" w:rsidP="00583BC0">
      <w:pPr>
        <w:pStyle w:val="ListParagraph"/>
        <w:numPr>
          <w:ilvl w:val="0"/>
          <w:numId w:val="11"/>
        </w:numPr>
        <w:spacing w:after="0"/>
        <w:rPr>
          <w:kern w:val="2"/>
        </w:rPr>
      </w:pPr>
      <w:r w:rsidRPr="00FF3ECB">
        <w:rPr>
          <w:kern w:val="2"/>
        </w:rPr>
        <w:t xml:space="preserve">Modify the RRC parameter PUCCH-Spatial-relation-info as list. </w:t>
      </w:r>
    </w:p>
    <w:p w14:paraId="666F332A" w14:textId="77777777" w:rsidR="0043710F" w:rsidRPr="00FF3ECB" w:rsidRDefault="0043710F" w:rsidP="00583BC0">
      <w:pPr>
        <w:pStyle w:val="ListParagraph"/>
        <w:numPr>
          <w:ilvl w:val="1"/>
          <w:numId w:val="11"/>
        </w:numPr>
        <w:spacing w:after="0"/>
        <w:rPr>
          <w:kern w:val="2"/>
        </w:rPr>
      </w:pPr>
      <w:r w:rsidRPr="00FF3ECB">
        <w:rPr>
          <w:kern w:val="2"/>
        </w:rPr>
        <w:t>Each entry can be SSB ID or, a CRI, or a SRI</w:t>
      </w:r>
    </w:p>
    <w:p w14:paraId="530AADE5" w14:textId="77777777" w:rsidR="0043710F" w:rsidRPr="00FF3ECB" w:rsidRDefault="0043710F" w:rsidP="00583BC0">
      <w:pPr>
        <w:pStyle w:val="ListParagraph"/>
        <w:numPr>
          <w:ilvl w:val="1"/>
          <w:numId w:val="11"/>
        </w:numPr>
        <w:spacing w:after="0"/>
        <w:rPr>
          <w:rFonts w:eastAsia="Malgun Gothic"/>
          <w:kern w:val="2"/>
        </w:rPr>
      </w:pPr>
      <w:r w:rsidRPr="00FF3ECB">
        <w:rPr>
          <w:rFonts w:eastAsia="Malgun Gothic"/>
          <w:kern w:val="2"/>
        </w:rPr>
        <w:t xml:space="preserve">One or multiple </w:t>
      </w:r>
      <w:proofErr w:type="spellStart"/>
      <w:r w:rsidRPr="00FF3ECB">
        <w:rPr>
          <w:rFonts w:eastAsia="Malgun Gothic"/>
          <w:kern w:val="2"/>
        </w:rPr>
        <w:t>SpatialRelationInfo</w:t>
      </w:r>
      <w:proofErr w:type="spellEnd"/>
      <w:r w:rsidRPr="00FF3ECB">
        <w:rPr>
          <w:rFonts w:eastAsia="Malgun Gothic"/>
          <w:kern w:val="2"/>
        </w:rPr>
        <w:t xml:space="preserve"> IE(s) is included in the list.</w:t>
      </w:r>
    </w:p>
    <w:p w14:paraId="5BBE09A6" w14:textId="77777777" w:rsidR="0043710F" w:rsidRPr="00FF3ECB" w:rsidRDefault="0043710F" w:rsidP="00583BC0">
      <w:pPr>
        <w:pStyle w:val="ListParagraph"/>
        <w:numPr>
          <w:ilvl w:val="0"/>
          <w:numId w:val="11"/>
        </w:numPr>
        <w:spacing w:after="0"/>
        <w:rPr>
          <w:kern w:val="2"/>
        </w:rPr>
      </w:pPr>
      <w:r w:rsidRPr="00FF3ECB">
        <w:rPr>
          <w:kern w:val="2"/>
        </w:rPr>
        <w:t>Introduce MAC-CE signalling to provide spatial relation information for a PUCCH resource to one of the entries in PUCCH-Spatial-relation-info</w:t>
      </w:r>
    </w:p>
    <w:p w14:paraId="24850EE1" w14:textId="77777777" w:rsidR="0043710F" w:rsidRPr="00FF3ECB" w:rsidRDefault="0043710F" w:rsidP="00583BC0">
      <w:pPr>
        <w:pStyle w:val="ListParagraph"/>
        <w:numPr>
          <w:ilvl w:val="0"/>
          <w:numId w:val="11"/>
        </w:numPr>
        <w:spacing w:after="0"/>
        <w:rPr>
          <w:kern w:val="2"/>
        </w:rPr>
      </w:pPr>
      <w:r w:rsidRPr="00FF3ECB">
        <w:rPr>
          <w:kern w:val="2"/>
        </w:rPr>
        <w:t xml:space="preserve">If PUCCH-Spatial-relation-info includes one </w:t>
      </w:r>
      <w:proofErr w:type="spellStart"/>
      <w:r w:rsidRPr="00FF3ECB">
        <w:rPr>
          <w:kern w:val="2"/>
        </w:rPr>
        <w:t>SpatialRelationInfo</w:t>
      </w:r>
      <w:proofErr w:type="spellEnd"/>
      <w:r w:rsidRPr="00FF3ECB">
        <w:rPr>
          <w:kern w:val="2"/>
        </w:rPr>
        <w:t xml:space="preserve"> IE, UE applies the configured </w:t>
      </w:r>
      <w:proofErr w:type="spellStart"/>
      <w:r w:rsidRPr="00FF3ECB">
        <w:rPr>
          <w:kern w:val="2"/>
        </w:rPr>
        <w:t>SpatialRelationInfo</w:t>
      </w:r>
      <w:proofErr w:type="spellEnd"/>
      <w:r w:rsidRPr="00FF3ECB">
        <w:rPr>
          <w:kern w:val="2"/>
        </w:rPr>
        <w:t xml:space="preserve"> and no MAC-CE is used.</w:t>
      </w:r>
    </w:p>
    <w:p w14:paraId="1F98A4F5" w14:textId="77777777" w:rsidR="0043710F" w:rsidRPr="00FF3ECB" w:rsidRDefault="0043710F" w:rsidP="00583BC0">
      <w:pPr>
        <w:pStyle w:val="ListParagraph"/>
        <w:numPr>
          <w:ilvl w:val="0"/>
          <w:numId w:val="11"/>
        </w:numPr>
        <w:spacing w:after="0"/>
        <w:rPr>
          <w:kern w:val="2"/>
        </w:rPr>
      </w:pPr>
      <w:r w:rsidRPr="00FF3ECB">
        <w:rPr>
          <w:kern w:val="2"/>
        </w:rPr>
        <w:t>MAC-CE Impact:</w:t>
      </w:r>
    </w:p>
    <w:tbl>
      <w:tblPr>
        <w:tblW w:w="95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12"/>
        <w:gridCol w:w="943"/>
        <w:gridCol w:w="1584"/>
        <w:gridCol w:w="2164"/>
        <w:gridCol w:w="3888"/>
      </w:tblGrid>
      <w:tr w:rsidR="0043710F" w:rsidRPr="00553EB6" w14:paraId="75F1604A" w14:textId="77777777" w:rsidTr="003747B8">
        <w:trPr>
          <w:trHeight w:val="1560"/>
          <w:jc w:val="center"/>
        </w:trPr>
        <w:tc>
          <w:tcPr>
            <w:tcW w:w="1012" w:type="dxa"/>
            <w:shd w:val="clear" w:color="auto" w:fill="auto"/>
            <w:tcMar>
              <w:top w:w="0" w:type="dxa"/>
              <w:left w:w="108" w:type="dxa"/>
              <w:bottom w:w="0" w:type="dxa"/>
              <w:right w:w="108" w:type="dxa"/>
            </w:tcMar>
            <w:vAlign w:val="center"/>
            <w:hideMark/>
          </w:tcPr>
          <w:p w14:paraId="3DFD0EF7" w14:textId="77777777" w:rsidR="0043710F" w:rsidRPr="00553EB6" w:rsidRDefault="0043710F" w:rsidP="003747B8">
            <w:pPr>
              <w:overflowPunct/>
              <w:autoSpaceDE/>
              <w:autoSpaceDN/>
              <w:adjustRightInd/>
              <w:spacing w:after="0"/>
              <w:jc w:val="left"/>
              <w:textAlignment w:val="auto"/>
              <w:rPr>
                <w:rFonts w:eastAsia="Batang"/>
                <w:bCs/>
                <w:lang w:val="en-US" w:eastAsia="ja-JP"/>
              </w:rPr>
            </w:pPr>
            <w:r w:rsidRPr="00553EB6">
              <w:rPr>
                <w:rFonts w:eastAsia="Batang"/>
                <w:bCs/>
                <w:lang w:eastAsia="en-US"/>
              </w:rPr>
              <w:t>TS38.214</w:t>
            </w:r>
          </w:p>
        </w:tc>
        <w:tc>
          <w:tcPr>
            <w:tcW w:w="943" w:type="dxa"/>
            <w:shd w:val="clear" w:color="auto" w:fill="auto"/>
            <w:tcMar>
              <w:top w:w="0" w:type="dxa"/>
              <w:left w:w="108" w:type="dxa"/>
              <w:bottom w:w="0" w:type="dxa"/>
              <w:right w:w="108" w:type="dxa"/>
            </w:tcMar>
            <w:vAlign w:val="center"/>
            <w:hideMark/>
          </w:tcPr>
          <w:p w14:paraId="3033E9E8" w14:textId="77777777" w:rsidR="0043710F" w:rsidRPr="00553EB6" w:rsidRDefault="0043710F" w:rsidP="003747B8">
            <w:pPr>
              <w:overflowPunct/>
              <w:autoSpaceDE/>
              <w:autoSpaceDN/>
              <w:adjustRightInd/>
              <w:spacing w:after="0"/>
              <w:jc w:val="left"/>
              <w:textAlignment w:val="auto"/>
              <w:rPr>
                <w:rFonts w:eastAsia="Batang"/>
                <w:bCs/>
                <w:lang w:eastAsia="en-US"/>
              </w:rPr>
            </w:pPr>
            <w:r w:rsidRPr="00553EB6">
              <w:rPr>
                <w:rFonts w:eastAsia="Batang"/>
                <w:bCs/>
                <w:lang w:eastAsia="en-US"/>
              </w:rPr>
              <w:t> </w:t>
            </w:r>
          </w:p>
        </w:tc>
        <w:tc>
          <w:tcPr>
            <w:tcW w:w="1584" w:type="dxa"/>
            <w:shd w:val="clear" w:color="auto" w:fill="auto"/>
            <w:tcMar>
              <w:top w:w="0" w:type="dxa"/>
              <w:left w:w="108" w:type="dxa"/>
              <w:bottom w:w="0" w:type="dxa"/>
              <w:right w:w="108" w:type="dxa"/>
            </w:tcMar>
            <w:vAlign w:val="center"/>
            <w:hideMark/>
          </w:tcPr>
          <w:p w14:paraId="52A12A65" w14:textId="77777777" w:rsidR="0043710F" w:rsidRPr="00553EB6" w:rsidRDefault="0043710F" w:rsidP="003747B8">
            <w:pPr>
              <w:overflowPunct/>
              <w:autoSpaceDE/>
              <w:autoSpaceDN/>
              <w:adjustRightInd/>
              <w:spacing w:after="0"/>
              <w:jc w:val="left"/>
              <w:textAlignment w:val="auto"/>
              <w:rPr>
                <w:rFonts w:eastAsia="Batang"/>
                <w:bCs/>
                <w:lang w:eastAsia="en-US"/>
              </w:rPr>
            </w:pPr>
            <w:r w:rsidRPr="00553EB6">
              <w:rPr>
                <w:rFonts w:eastAsia="Batang"/>
                <w:bCs/>
                <w:lang w:eastAsia="en-US"/>
              </w:rPr>
              <w:t>Indication of spatial relation for PUCCH</w:t>
            </w:r>
          </w:p>
        </w:tc>
        <w:tc>
          <w:tcPr>
            <w:tcW w:w="2164" w:type="dxa"/>
            <w:shd w:val="clear" w:color="auto" w:fill="auto"/>
            <w:tcMar>
              <w:top w:w="0" w:type="dxa"/>
              <w:left w:w="108" w:type="dxa"/>
              <w:bottom w:w="0" w:type="dxa"/>
              <w:right w:w="108" w:type="dxa"/>
            </w:tcMar>
            <w:vAlign w:val="center"/>
            <w:hideMark/>
          </w:tcPr>
          <w:p w14:paraId="0BE4389D" w14:textId="77777777" w:rsidR="0043710F" w:rsidRPr="00553EB6" w:rsidRDefault="0043710F" w:rsidP="003747B8">
            <w:pPr>
              <w:overflowPunct/>
              <w:autoSpaceDE/>
              <w:autoSpaceDN/>
              <w:adjustRightInd/>
              <w:spacing w:after="0"/>
              <w:jc w:val="left"/>
              <w:textAlignment w:val="auto"/>
              <w:rPr>
                <w:rFonts w:eastAsia="Batang"/>
                <w:bCs/>
                <w:lang w:eastAsia="en-US"/>
              </w:rPr>
            </w:pPr>
            <w:r w:rsidRPr="00553EB6">
              <w:rPr>
                <w:rFonts w:eastAsia="Batang"/>
                <w:bCs/>
                <w:lang w:eastAsia="en-US"/>
              </w:rPr>
              <w:t>Provides the spatial relation for a PUCCH resource</w:t>
            </w:r>
          </w:p>
        </w:tc>
        <w:tc>
          <w:tcPr>
            <w:tcW w:w="3888" w:type="dxa"/>
            <w:shd w:val="clear" w:color="auto" w:fill="auto"/>
            <w:tcMar>
              <w:top w:w="0" w:type="dxa"/>
              <w:left w:w="108" w:type="dxa"/>
              <w:bottom w:w="0" w:type="dxa"/>
              <w:right w:w="108" w:type="dxa"/>
            </w:tcMar>
            <w:vAlign w:val="center"/>
            <w:hideMark/>
          </w:tcPr>
          <w:p w14:paraId="4D5CA34B" w14:textId="77777777" w:rsidR="0043710F" w:rsidRPr="00553EB6" w:rsidRDefault="0043710F" w:rsidP="003747B8">
            <w:pPr>
              <w:overflowPunct/>
              <w:autoSpaceDE/>
              <w:autoSpaceDN/>
              <w:adjustRightInd/>
              <w:spacing w:after="0"/>
              <w:jc w:val="left"/>
              <w:textAlignment w:val="auto"/>
              <w:rPr>
                <w:rFonts w:eastAsia="Batang"/>
                <w:bCs/>
                <w:lang w:eastAsia="en-US"/>
              </w:rPr>
            </w:pPr>
            <w:r w:rsidRPr="00553EB6">
              <w:rPr>
                <w:rFonts w:eastAsia="Batang"/>
                <w:bCs/>
                <w:lang w:eastAsia="en-US"/>
              </w:rPr>
              <w:t>PUCCH resource ID | Bitmap of size [8]</w:t>
            </w:r>
            <w:r w:rsidRPr="00553EB6">
              <w:rPr>
                <w:rFonts w:eastAsia="Batang"/>
                <w:bCs/>
                <w:lang w:eastAsia="en-US"/>
              </w:rPr>
              <w:br/>
              <w:t xml:space="preserve">(Bitmap activates one of the [8] entries within the RRC parameter </w:t>
            </w:r>
            <w:r w:rsidRPr="00553EB6">
              <w:rPr>
                <w:rFonts w:eastAsia="Batang"/>
                <w:bCs/>
                <w:i/>
                <w:iCs/>
                <w:lang w:eastAsia="en-US"/>
              </w:rPr>
              <w:t>PUCCH-Spatial-relation-info)</w:t>
            </w:r>
            <w:r w:rsidRPr="00553EB6">
              <w:rPr>
                <w:rFonts w:eastAsia="Batang"/>
                <w:bCs/>
                <w:lang w:eastAsia="en-US"/>
              </w:rPr>
              <w:t xml:space="preserve"> </w:t>
            </w:r>
          </w:p>
        </w:tc>
      </w:tr>
    </w:tbl>
    <w:p w14:paraId="4807F43D" w14:textId="77777777" w:rsidR="0043710F" w:rsidRPr="00FF3ECB" w:rsidRDefault="0043710F" w:rsidP="00583BC0">
      <w:pPr>
        <w:pStyle w:val="ListParagraph"/>
        <w:numPr>
          <w:ilvl w:val="0"/>
          <w:numId w:val="15"/>
        </w:numPr>
        <w:spacing w:after="0"/>
        <w:ind w:left="720"/>
        <w:rPr>
          <w:kern w:val="2"/>
        </w:rPr>
      </w:pPr>
      <w:r w:rsidRPr="00FF3ECB">
        <w:rPr>
          <w:kern w:val="2"/>
        </w:rPr>
        <w:t>RRC modification: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720"/>
        <w:gridCol w:w="990"/>
        <w:gridCol w:w="3117"/>
        <w:gridCol w:w="238"/>
        <w:gridCol w:w="912"/>
        <w:gridCol w:w="413"/>
        <w:gridCol w:w="993"/>
        <w:gridCol w:w="532"/>
      </w:tblGrid>
      <w:tr w:rsidR="0043710F" w:rsidRPr="00553EB6" w14:paraId="38BE1B1A" w14:textId="77777777" w:rsidTr="003747B8">
        <w:trPr>
          <w:jc w:val="center"/>
        </w:trPr>
        <w:tc>
          <w:tcPr>
            <w:tcW w:w="1435" w:type="dxa"/>
            <w:shd w:val="clear" w:color="auto" w:fill="auto"/>
          </w:tcPr>
          <w:p w14:paraId="74319DA7" w14:textId="77777777" w:rsidR="0043710F" w:rsidRPr="00553EB6" w:rsidRDefault="0043710F" w:rsidP="003747B8">
            <w:pPr>
              <w:overflowPunct/>
              <w:autoSpaceDE/>
              <w:autoSpaceDN/>
              <w:adjustRightInd/>
              <w:spacing w:after="0"/>
              <w:jc w:val="left"/>
              <w:textAlignment w:val="auto"/>
              <w:rPr>
                <w:rFonts w:eastAsia="Batang"/>
                <w:lang w:eastAsia="en-US"/>
              </w:rPr>
            </w:pPr>
            <w:r w:rsidRPr="00553EB6">
              <w:rPr>
                <w:rFonts w:eastAsia="Batang"/>
                <w:lang w:eastAsia="en-US"/>
              </w:rPr>
              <w:t>PUCCH-</w:t>
            </w:r>
            <w:proofErr w:type="spellStart"/>
            <w:r w:rsidRPr="00553EB6">
              <w:rPr>
                <w:rFonts w:eastAsia="Batang"/>
                <w:lang w:eastAsia="en-US"/>
              </w:rPr>
              <w:t>SpatialRelationInfo</w:t>
            </w:r>
            <w:proofErr w:type="spellEnd"/>
          </w:p>
        </w:tc>
        <w:tc>
          <w:tcPr>
            <w:tcW w:w="720" w:type="dxa"/>
            <w:shd w:val="clear" w:color="auto" w:fill="auto"/>
          </w:tcPr>
          <w:p w14:paraId="2E79F32D" w14:textId="77777777" w:rsidR="0043710F" w:rsidRPr="00553EB6" w:rsidRDefault="0043710F" w:rsidP="003747B8">
            <w:pPr>
              <w:overflowPunct/>
              <w:autoSpaceDE/>
              <w:autoSpaceDN/>
              <w:adjustRightInd/>
              <w:spacing w:after="0"/>
              <w:jc w:val="left"/>
              <w:textAlignment w:val="auto"/>
              <w:rPr>
                <w:rFonts w:eastAsia="Batang"/>
                <w:lang w:eastAsia="en-US"/>
              </w:rPr>
            </w:pPr>
            <w:r w:rsidRPr="00553EB6">
              <w:rPr>
                <w:rFonts w:eastAsia="Batang"/>
                <w:lang w:eastAsia="en-US"/>
              </w:rPr>
              <w:t>New</w:t>
            </w:r>
          </w:p>
        </w:tc>
        <w:tc>
          <w:tcPr>
            <w:tcW w:w="990" w:type="dxa"/>
            <w:shd w:val="clear" w:color="auto" w:fill="auto"/>
          </w:tcPr>
          <w:p w14:paraId="1772C138" w14:textId="77777777" w:rsidR="0043710F" w:rsidRPr="00553EB6" w:rsidRDefault="0043710F" w:rsidP="003747B8">
            <w:pPr>
              <w:overflowPunct/>
              <w:autoSpaceDE/>
              <w:autoSpaceDN/>
              <w:adjustRightInd/>
              <w:spacing w:after="0"/>
              <w:jc w:val="left"/>
              <w:textAlignment w:val="auto"/>
              <w:rPr>
                <w:rFonts w:eastAsia="Batang"/>
                <w:lang w:eastAsia="en-US"/>
              </w:rPr>
            </w:pPr>
            <w:r w:rsidRPr="00553EB6">
              <w:rPr>
                <w:rFonts w:eastAsia="Batang"/>
                <w:lang w:eastAsia="en-US"/>
              </w:rPr>
              <w:t xml:space="preserve">PUCCH- </w:t>
            </w:r>
            <w:proofErr w:type="spellStart"/>
            <w:r w:rsidRPr="00553EB6">
              <w:rPr>
                <w:rFonts w:eastAsia="Batang"/>
                <w:lang w:eastAsia="en-US"/>
              </w:rPr>
              <w:t>SpatialRelationInfo</w:t>
            </w:r>
            <w:proofErr w:type="spellEnd"/>
          </w:p>
        </w:tc>
        <w:tc>
          <w:tcPr>
            <w:tcW w:w="3117" w:type="dxa"/>
            <w:shd w:val="clear" w:color="auto" w:fill="auto"/>
          </w:tcPr>
          <w:p w14:paraId="286B39D7" w14:textId="77777777" w:rsidR="0043710F" w:rsidRPr="00553EB6" w:rsidRDefault="0043710F" w:rsidP="003747B8">
            <w:pPr>
              <w:overflowPunct/>
              <w:autoSpaceDE/>
              <w:autoSpaceDN/>
              <w:adjustRightInd/>
              <w:spacing w:after="0"/>
              <w:jc w:val="left"/>
              <w:textAlignment w:val="auto"/>
              <w:rPr>
                <w:rFonts w:eastAsia="Batang"/>
                <w:lang w:eastAsia="en-US"/>
              </w:rPr>
            </w:pPr>
            <w:r w:rsidRPr="00553EB6">
              <w:rPr>
                <w:rFonts w:eastAsia="Batang"/>
                <w:color w:val="FF0000"/>
                <w:lang w:eastAsia="en-US"/>
              </w:rPr>
              <w:t xml:space="preserve">List of </w:t>
            </w:r>
            <w:r w:rsidRPr="00553EB6">
              <w:rPr>
                <w:rFonts w:eastAsia="Batang"/>
                <w:lang w:eastAsia="en-US"/>
              </w:rPr>
              <w:t>configurations of the spatial relation between reference RS and PUCCH. Reference RS can be SSB/CSI-RS/SRS.</w:t>
            </w:r>
            <w:r w:rsidRPr="00553EB6">
              <w:rPr>
                <w:rFonts w:eastAsia="Batang"/>
                <w:lang w:eastAsia="en-US"/>
              </w:rPr>
              <w:tab/>
              <w:t>SSB Index, NZP-CSI-RS-</w:t>
            </w:r>
            <w:proofErr w:type="spellStart"/>
            <w:r w:rsidRPr="00553EB6">
              <w:rPr>
                <w:rFonts w:eastAsia="Batang"/>
                <w:lang w:eastAsia="en-US"/>
              </w:rPr>
              <w:t>ResourceConfigId</w:t>
            </w:r>
            <w:proofErr w:type="spellEnd"/>
            <w:r w:rsidRPr="00553EB6">
              <w:rPr>
                <w:rFonts w:eastAsia="Batang"/>
                <w:lang w:eastAsia="en-US"/>
              </w:rPr>
              <w:t>, or SRS-</w:t>
            </w:r>
            <w:proofErr w:type="spellStart"/>
            <w:r w:rsidRPr="00553EB6">
              <w:rPr>
                <w:rFonts w:eastAsia="Batang"/>
                <w:lang w:eastAsia="en-US"/>
              </w:rPr>
              <w:t>ResourceConfigId</w:t>
            </w:r>
            <w:proofErr w:type="spellEnd"/>
          </w:p>
        </w:tc>
        <w:tc>
          <w:tcPr>
            <w:tcW w:w="238" w:type="dxa"/>
            <w:shd w:val="clear" w:color="auto" w:fill="auto"/>
          </w:tcPr>
          <w:p w14:paraId="3496C54C" w14:textId="77777777" w:rsidR="0043710F" w:rsidRPr="00553EB6" w:rsidRDefault="0043710F" w:rsidP="003747B8">
            <w:pPr>
              <w:overflowPunct/>
              <w:autoSpaceDE/>
              <w:autoSpaceDN/>
              <w:adjustRightInd/>
              <w:spacing w:after="0"/>
              <w:jc w:val="left"/>
              <w:textAlignment w:val="auto"/>
              <w:rPr>
                <w:rFonts w:eastAsia="Batang"/>
                <w:lang w:eastAsia="en-US"/>
              </w:rPr>
            </w:pPr>
          </w:p>
        </w:tc>
        <w:tc>
          <w:tcPr>
            <w:tcW w:w="912" w:type="dxa"/>
            <w:shd w:val="clear" w:color="auto" w:fill="auto"/>
          </w:tcPr>
          <w:p w14:paraId="171BC66F" w14:textId="77777777" w:rsidR="0043710F" w:rsidRPr="00553EB6" w:rsidRDefault="0043710F" w:rsidP="003747B8">
            <w:pPr>
              <w:overflowPunct/>
              <w:autoSpaceDE/>
              <w:autoSpaceDN/>
              <w:adjustRightInd/>
              <w:spacing w:after="0"/>
              <w:jc w:val="left"/>
              <w:textAlignment w:val="auto"/>
              <w:rPr>
                <w:rFonts w:eastAsia="Batang"/>
                <w:lang w:eastAsia="en-US"/>
              </w:rPr>
            </w:pPr>
            <w:r w:rsidRPr="00553EB6">
              <w:rPr>
                <w:rFonts w:eastAsia="Batang"/>
                <w:lang w:eastAsia="en-US"/>
              </w:rPr>
              <w:t>UE-Specific</w:t>
            </w:r>
          </w:p>
        </w:tc>
        <w:tc>
          <w:tcPr>
            <w:tcW w:w="413" w:type="dxa"/>
            <w:shd w:val="clear" w:color="auto" w:fill="auto"/>
          </w:tcPr>
          <w:p w14:paraId="1F98514A" w14:textId="77777777" w:rsidR="0043710F" w:rsidRPr="00553EB6" w:rsidRDefault="0043710F" w:rsidP="003747B8">
            <w:pPr>
              <w:overflowPunct/>
              <w:autoSpaceDE/>
              <w:autoSpaceDN/>
              <w:adjustRightInd/>
              <w:spacing w:after="0"/>
              <w:jc w:val="left"/>
              <w:textAlignment w:val="auto"/>
              <w:rPr>
                <w:rFonts w:eastAsia="Batang"/>
                <w:lang w:eastAsia="en-US"/>
              </w:rPr>
            </w:pPr>
          </w:p>
        </w:tc>
        <w:tc>
          <w:tcPr>
            <w:tcW w:w="993" w:type="dxa"/>
            <w:shd w:val="clear" w:color="auto" w:fill="auto"/>
          </w:tcPr>
          <w:p w14:paraId="317349DE" w14:textId="77777777" w:rsidR="0043710F" w:rsidRPr="00553EB6" w:rsidRDefault="0043710F" w:rsidP="003747B8">
            <w:pPr>
              <w:overflowPunct/>
              <w:autoSpaceDE/>
              <w:autoSpaceDN/>
              <w:adjustRightInd/>
              <w:spacing w:after="0"/>
              <w:jc w:val="left"/>
              <w:textAlignment w:val="auto"/>
              <w:rPr>
                <w:rFonts w:eastAsia="Batang"/>
                <w:lang w:eastAsia="en-US"/>
              </w:rPr>
            </w:pPr>
            <w:r w:rsidRPr="00553EB6">
              <w:rPr>
                <w:rFonts w:eastAsia="Batang"/>
                <w:lang w:eastAsia="en-US"/>
              </w:rPr>
              <w:t>38.331</w:t>
            </w:r>
          </w:p>
        </w:tc>
        <w:tc>
          <w:tcPr>
            <w:tcW w:w="532" w:type="dxa"/>
            <w:shd w:val="clear" w:color="auto" w:fill="auto"/>
          </w:tcPr>
          <w:p w14:paraId="2EE59627" w14:textId="77777777" w:rsidR="0043710F" w:rsidRPr="00553EB6" w:rsidRDefault="0043710F" w:rsidP="003747B8">
            <w:pPr>
              <w:overflowPunct/>
              <w:autoSpaceDE/>
              <w:autoSpaceDN/>
              <w:adjustRightInd/>
              <w:spacing w:after="0"/>
              <w:jc w:val="left"/>
              <w:textAlignment w:val="auto"/>
              <w:rPr>
                <w:rFonts w:eastAsia="Batang"/>
                <w:lang w:eastAsia="en-US"/>
              </w:rPr>
            </w:pPr>
          </w:p>
        </w:tc>
      </w:tr>
    </w:tbl>
    <w:p w14:paraId="7022927A" w14:textId="77777777" w:rsidR="0043710F" w:rsidRDefault="0043710F" w:rsidP="0043710F">
      <w:pPr>
        <w:spacing w:after="0"/>
      </w:pPr>
    </w:p>
    <w:p w14:paraId="795A50F2" w14:textId="77777777" w:rsidR="0043710F" w:rsidRPr="00B94F5A" w:rsidRDefault="0043710F" w:rsidP="0043710F">
      <w:pPr>
        <w:spacing w:after="0"/>
        <w:rPr>
          <w:b/>
          <w:highlight w:val="green"/>
        </w:rPr>
      </w:pPr>
      <w:r w:rsidRPr="00B94F5A">
        <w:rPr>
          <w:b/>
          <w:highlight w:val="green"/>
        </w:rPr>
        <w:t>Agreement #7</w:t>
      </w:r>
    </w:p>
    <w:p w14:paraId="18E05338" w14:textId="77777777" w:rsidR="0043710F" w:rsidRPr="00606366" w:rsidRDefault="0043710F" w:rsidP="00583BC0">
      <w:pPr>
        <w:pStyle w:val="ListParagraph"/>
        <w:numPr>
          <w:ilvl w:val="0"/>
          <w:numId w:val="11"/>
        </w:numPr>
        <w:spacing w:after="0"/>
        <w:rPr>
          <w:kern w:val="2"/>
        </w:rPr>
      </w:pPr>
      <w:r w:rsidRPr="00606366">
        <w:rPr>
          <w:kern w:val="2"/>
        </w:rPr>
        <w:t>Between initial RRC configuration and MAC CE activation of TCI states, the UE may assume that both PDCCH and PDSCH DMRS are spatially QCL-</w:t>
      </w:r>
      <w:proofErr w:type="spellStart"/>
      <w:r w:rsidRPr="00606366">
        <w:rPr>
          <w:kern w:val="2"/>
        </w:rPr>
        <w:t>ed</w:t>
      </w:r>
      <w:proofErr w:type="spellEnd"/>
      <w:r w:rsidRPr="00606366">
        <w:rPr>
          <w:kern w:val="2"/>
        </w:rPr>
        <w:t xml:space="preserve"> with the SSB determined during initial access</w:t>
      </w:r>
    </w:p>
    <w:p w14:paraId="70E55632" w14:textId="77777777" w:rsidR="0043710F" w:rsidRDefault="0043710F" w:rsidP="0043710F">
      <w:pPr>
        <w:spacing w:after="0"/>
      </w:pPr>
    </w:p>
    <w:p w14:paraId="2928A79D" w14:textId="77777777" w:rsidR="0043710F" w:rsidRPr="00B94F5A" w:rsidRDefault="0043710F" w:rsidP="0043710F">
      <w:pPr>
        <w:spacing w:after="0"/>
        <w:rPr>
          <w:b/>
          <w:highlight w:val="green"/>
        </w:rPr>
      </w:pPr>
      <w:r w:rsidRPr="00B94F5A">
        <w:rPr>
          <w:b/>
          <w:highlight w:val="green"/>
        </w:rPr>
        <w:t>Agreement #8</w:t>
      </w:r>
    </w:p>
    <w:p w14:paraId="17B2F7CC" w14:textId="77777777" w:rsidR="0043710F" w:rsidRPr="000C2E96" w:rsidRDefault="0043710F" w:rsidP="00583BC0">
      <w:pPr>
        <w:pStyle w:val="LGTdoc"/>
        <w:numPr>
          <w:ilvl w:val="0"/>
          <w:numId w:val="16"/>
        </w:numPr>
        <w:spacing w:afterLines="0" w:after="0"/>
        <w:rPr>
          <w:rFonts w:ascii="Times" w:hAnsi="Times" w:cs="Times"/>
          <w:sz w:val="20"/>
          <w:szCs w:val="20"/>
          <w:lang w:val="en-US"/>
        </w:rPr>
      </w:pPr>
      <w:r w:rsidRPr="000C2E96">
        <w:rPr>
          <w:rFonts w:ascii="Times" w:hAnsi="Times" w:cs="Times"/>
          <w:sz w:val="20"/>
          <w:szCs w:val="20"/>
          <w:lang w:val="en-US"/>
        </w:rPr>
        <w:t xml:space="preserve">For UL beam management, </w:t>
      </w:r>
    </w:p>
    <w:p w14:paraId="47D904B5" w14:textId="77777777" w:rsidR="0043710F" w:rsidRPr="000C2E96" w:rsidRDefault="0043710F" w:rsidP="00583BC0">
      <w:pPr>
        <w:pStyle w:val="LGTdoc"/>
        <w:numPr>
          <w:ilvl w:val="1"/>
          <w:numId w:val="16"/>
        </w:numPr>
        <w:spacing w:afterLines="0" w:after="0"/>
        <w:rPr>
          <w:rFonts w:ascii="Times" w:hAnsi="Times" w:cs="Times"/>
          <w:sz w:val="20"/>
          <w:szCs w:val="20"/>
          <w:lang w:val="en-US"/>
        </w:rPr>
      </w:pPr>
      <w:r w:rsidRPr="000C2E96">
        <w:rPr>
          <w:rFonts w:ascii="Times" w:hAnsi="Times" w:cs="Times"/>
          <w:sz w:val="20"/>
          <w:szCs w:val="20"/>
          <w:lang w:val="en-US"/>
        </w:rPr>
        <w:t xml:space="preserve">NR supports </w:t>
      </w:r>
      <w:proofErr w:type="spellStart"/>
      <w:r w:rsidRPr="000C2E96">
        <w:rPr>
          <w:rFonts w:ascii="Times" w:hAnsi="Times" w:cs="Times"/>
          <w:sz w:val="20"/>
          <w:szCs w:val="20"/>
          <w:lang w:val="en-US"/>
        </w:rPr>
        <w:t>gNB</w:t>
      </w:r>
      <w:proofErr w:type="spellEnd"/>
      <w:r w:rsidRPr="000C2E96">
        <w:rPr>
          <w:rFonts w:ascii="Times" w:hAnsi="Times" w:cs="Times"/>
          <w:sz w:val="20"/>
          <w:szCs w:val="20"/>
          <w:lang w:val="en-US"/>
        </w:rPr>
        <w:t xml:space="preserve"> configuration of transmitting SRS with same </w:t>
      </w:r>
      <w:proofErr w:type="spellStart"/>
      <w:r w:rsidRPr="000C2E96">
        <w:rPr>
          <w:rFonts w:ascii="Times" w:hAnsi="Times" w:cs="Times"/>
          <w:sz w:val="20"/>
          <w:szCs w:val="20"/>
          <w:lang w:val="en-US"/>
        </w:rPr>
        <w:t>Tx</w:t>
      </w:r>
      <w:proofErr w:type="spellEnd"/>
      <w:r w:rsidRPr="000C2E96">
        <w:rPr>
          <w:rFonts w:ascii="Times" w:hAnsi="Times" w:cs="Times"/>
          <w:sz w:val="20"/>
          <w:szCs w:val="20"/>
          <w:lang w:val="en-US"/>
        </w:rPr>
        <w:t xml:space="preserve"> beam across multiple symbols via either of followings</w:t>
      </w:r>
    </w:p>
    <w:p w14:paraId="6B96650C" w14:textId="77777777" w:rsidR="0043710F" w:rsidRPr="000C2E96" w:rsidRDefault="0043710F" w:rsidP="00583BC0">
      <w:pPr>
        <w:pStyle w:val="LGTdoc"/>
        <w:numPr>
          <w:ilvl w:val="2"/>
          <w:numId w:val="16"/>
        </w:numPr>
        <w:spacing w:afterLines="0" w:after="0"/>
        <w:rPr>
          <w:rFonts w:ascii="Times" w:hAnsi="Times" w:cs="Times"/>
          <w:sz w:val="20"/>
          <w:szCs w:val="20"/>
          <w:lang w:val="en-US"/>
        </w:rPr>
      </w:pPr>
      <w:r w:rsidRPr="000C2E96">
        <w:rPr>
          <w:rFonts w:ascii="Times" w:hAnsi="Times" w:cs="Times"/>
          <w:sz w:val="20"/>
          <w:szCs w:val="20"/>
          <w:lang w:val="en-US"/>
        </w:rPr>
        <w:t xml:space="preserve">configuring one SRS resource spanning multiple symbols </w:t>
      </w:r>
    </w:p>
    <w:p w14:paraId="03AF80A3" w14:textId="77777777" w:rsidR="0043710F" w:rsidRPr="000C2E96" w:rsidRDefault="0043710F" w:rsidP="00583BC0">
      <w:pPr>
        <w:pStyle w:val="LGTdoc"/>
        <w:numPr>
          <w:ilvl w:val="2"/>
          <w:numId w:val="16"/>
        </w:numPr>
        <w:spacing w:afterLines="0" w:after="0"/>
        <w:rPr>
          <w:rFonts w:ascii="Times" w:hAnsi="Times" w:cs="Times"/>
          <w:sz w:val="20"/>
          <w:szCs w:val="20"/>
          <w:lang w:val="en-US"/>
        </w:rPr>
      </w:pPr>
      <w:r w:rsidRPr="000C2E96">
        <w:rPr>
          <w:rFonts w:ascii="Times" w:hAnsi="Times" w:cs="Times"/>
          <w:sz w:val="20"/>
          <w:szCs w:val="20"/>
          <w:lang w:val="en-US"/>
        </w:rPr>
        <w:t xml:space="preserve">configuring UE to apply the same </w:t>
      </w:r>
      <w:proofErr w:type="spellStart"/>
      <w:r w:rsidRPr="000C2E96">
        <w:rPr>
          <w:rFonts w:ascii="Times" w:hAnsi="Times" w:cs="Times"/>
          <w:sz w:val="20"/>
          <w:szCs w:val="20"/>
          <w:lang w:val="en-US"/>
        </w:rPr>
        <w:t>Tx</w:t>
      </w:r>
      <w:proofErr w:type="spellEnd"/>
      <w:r w:rsidRPr="000C2E96">
        <w:rPr>
          <w:rFonts w:ascii="Times" w:hAnsi="Times" w:cs="Times"/>
          <w:sz w:val="20"/>
          <w:szCs w:val="20"/>
          <w:lang w:val="en-US"/>
        </w:rPr>
        <w:t xml:space="preserve"> beam across the SRS resources in a SRS resource set.</w:t>
      </w:r>
    </w:p>
    <w:p w14:paraId="7EE6A9AE" w14:textId="77777777" w:rsidR="0043710F" w:rsidRPr="000C2E96" w:rsidRDefault="0043710F" w:rsidP="00583BC0">
      <w:pPr>
        <w:pStyle w:val="LGTdoc"/>
        <w:numPr>
          <w:ilvl w:val="1"/>
          <w:numId w:val="16"/>
        </w:numPr>
        <w:spacing w:afterLines="0" w:after="0"/>
        <w:rPr>
          <w:rFonts w:ascii="Times" w:hAnsi="Times" w:cs="Times"/>
          <w:sz w:val="20"/>
          <w:szCs w:val="20"/>
          <w:lang w:val="en-US"/>
        </w:rPr>
      </w:pPr>
      <w:r w:rsidRPr="000C2E96">
        <w:rPr>
          <w:rFonts w:ascii="Times" w:hAnsi="Times" w:cs="Times"/>
          <w:sz w:val="20"/>
          <w:szCs w:val="20"/>
          <w:lang w:val="en-US"/>
        </w:rPr>
        <w:t xml:space="preserve">UE can apply different </w:t>
      </w:r>
      <w:proofErr w:type="spellStart"/>
      <w:r w:rsidRPr="000C2E96">
        <w:rPr>
          <w:rFonts w:ascii="Times" w:hAnsi="Times" w:cs="Times"/>
          <w:sz w:val="20"/>
          <w:szCs w:val="20"/>
          <w:lang w:val="en-US"/>
        </w:rPr>
        <w:t>Tx</w:t>
      </w:r>
      <w:proofErr w:type="spellEnd"/>
      <w:r w:rsidRPr="000C2E96">
        <w:rPr>
          <w:rFonts w:ascii="Times" w:hAnsi="Times" w:cs="Times"/>
          <w:sz w:val="20"/>
          <w:szCs w:val="20"/>
          <w:lang w:val="en-US"/>
        </w:rPr>
        <w:t xml:space="preserve"> beams to different SRS resources if it is not configured to apply the same </w:t>
      </w:r>
      <w:proofErr w:type="spellStart"/>
      <w:r w:rsidRPr="000C2E96">
        <w:rPr>
          <w:rFonts w:ascii="Times" w:hAnsi="Times" w:cs="Times"/>
          <w:sz w:val="20"/>
          <w:szCs w:val="20"/>
          <w:lang w:val="en-US"/>
        </w:rPr>
        <w:t>Tx</w:t>
      </w:r>
      <w:proofErr w:type="spellEnd"/>
      <w:r w:rsidRPr="000C2E96">
        <w:rPr>
          <w:rFonts w:ascii="Times" w:hAnsi="Times" w:cs="Times"/>
          <w:sz w:val="20"/>
          <w:szCs w:val="20"/>
          <w:lang w:val="en-US"/>
        </w:rPr>
        <w:t xml:space="preserve"> beam across SRS resources in a SRS resource set, where the beams can be determined either (1) via a </w:t>
      </w:r>
      <w:proofErr w:type="spellStart"/>
      <w:r w:rsidRPr="000C2E96">
        <w:rPr>
          <w:rFonts w:ascii="Times" w:hAnsi="Times" w:cs="Times"/>
          <w:sz w:val="20"/>
          <w:szCs w:val="20"/>
          <w:lang w:val="en-US"/>
        </w:rPr>
        <w:t>gNB</w:t>
      </w:r>
      <w:proofErr w:type="spellEnd"/>
      <w:r w:rsidRPr="000C2E96">
        <w:rPr>
          <w:rFonts w:ascii="Times" w:hAnsi="Times" w:cs="Times"/>
          <w:sz w:val="20"/>
          <w:szCs w:val="20"/>
          <w:lang w:val="en-US"/>
        </w:rPr>
        <w:t xml:space="preserve">-transparent way, or (2) via </w:t>
      </w:r>
      <w:proofErr w:type="spellStart"/>
      <w:r w:rsidRPr="000C2E96">
        <w:rPr>
          <w:rFonts w:ascii="Times" w:hAnsi="Times" w:cs="Times"/>
          <w:sz w:val="20"/>
          <w:szCs w:val="20"/>
          <w:lang w:val="en-US"/>
        </w:rPr>
        <w:t>gNB</w:t>
      </w:r>
      <w:proofErr w:type="spellEnd"/>
      <w:r w:rsidRPr="000C2E96">
        <w:rPr>
          <w:rFonts w:ascii="Times" w:hAnsi="Times" w:cs="Times"/>
          <w:sz w:val="20"/>
          <w:szCs w:val="20"/>
          <w:lang w:val="en-US"/>
        </w:rPr>
        <w:t xml:space="preserve"> indication.</w:t>
      </w:r>
    </w:p>
    <w:p w14:paraId="72086873" w14:textId="77777777" w:rsidR="0043710F" w:rsidRDefault="0043710F" w:rsidP="0043710F">
      <w:pPr>
        <w:spacing w:after="0"/>
      </w:pPr>
    </w:p>
    <w:p w14:paraId="479C07E0" w14:textId="77777777" w:rsidR="0043710F" w:rsidRPr="00B94F5A" w:rsidRDefault="0043710F" w:rsidP="0043710F">
      <w:pPr>
        <w:spacing w:after="0"/>
        <w:rPr>
          <w:b/>
          <w:highlight w:val="green"/>
        </w:rPr>
      </w:pPr>
      <w:r w:rsidRPr="00B94F5A">
        <w:rPr>
          <w:b/>
          <w:highlight w:val="green"/>
        </w:rPr>
        <w:t>Agreement #9</w:t>
      </w:r>
    </w:p>
    <w:p w14:paraId="47E6FF35" w14:textId="77777777" w:rsidR="0043710F" w:rsidRPr="00940D46" w:rsidRDefault="0043710F" w:rsidP="00583BC0">
      <w:pPr>
        <w:pStyle w:val="BodyText"/>
        <w:numPr>
          <w:ilvl w:val="0"/>
          <w:numId w:val="17"/>
        </w:numPr>
        <w:overflowPunct/>
        <w:autoSpaceDE/>
        <w:autoSpaceDN/>
        <w:adjustRightInd/>
        <w:spacing w:after="0"/>
        <w:textAlignment w:val="auto"/>
        <w:rPr>
          <w:rFonts w:ascii="Times" w:hAnsi="Times" w:cs="Times"/>
        </w:rPr>
      </w:pPr>
      <w:r w:rsidRPr="00940D46">
        <w:rPr>
          <w:rFonts w:ascii="Times" w:hAnsi="Times" w:cs="Times"/>
        </w:rPr>
        <w:t>TCI-State structure for one RS set is either:</w:t>
      </w:r>
    </w:p>
    <w:p w14:paraId="03D95E23" w14:textId="77777777" w:rsidR="0043710F" w:rsidRPr="00940D46" w:rsidRDefault="0043710F" w:rsidP="00583BC0">
      <w:pPr>
        <w:pStyle w:val="BodyText"/>
        <w:numPr>
          <w:ilvl w:val="1"/>
          <w:numId w:val="17"/>
        </w:numPr>
        <w:overflowPunct/>
        <w:autoSpaceDE/>
        <w:autoSpaceDN/>
        <w:adjustRightInd/>
        <w:spacing w:after="0"/>
        <w:textAlignment w:val="auto"/>
        <w:rPr>
          <w:rFonts w:ascii="Times" w:hAnsi="Times" w:cs="Times"/>
        </w:rPr>
      </w:pPr>
      <w:r w:rsidRPr="00940D46">
        <w:rPr>
          <w:rFonts w:ascii="Times" w:hAnsi="Times" w:cs="Times"/>
        </w:rPr>
        <w:t>DL Reference RS1| QCL_type1, DL Reference RS2| QCL_type2</w:t>
      </w:r>
    </w:p>
    <w:p w14:paraId="44FD1BF0" w14:textId="77777777" w:rsidR="0043710F" w:rsidRPr="00940D46" w:rsidRDefault="0043710F" w:rsidP="00583BC0">
      <w:pPr>
        <w:pStyle w:val="BodyText"/>
        <w:numPr>
          <w:ilvl w:val="2"/>
          <w:numId w:val="17"/>
        </w:numPr>
        <w:overflowPunct/>
        <w:autoSpaceDE/>
        <w:autoSpaceDN/>
        <w:adjustRightInd/>
        <w:spacing w:after="0"/>
        <w:textAlignment w:val="auto"/>
        <w:rPr>
          <w:rFonts w:ascii="Times" w:hAnsi="Times" w:cs="Times"/>
        </w:rPr>
      </w:pPr>
      <w:r w:rsidRPr="00940D46">
        <w:rPr>
          <w:rFonts w:ascii="Times" w:hAnsi="Times" w:cs="Times"/>
        </w:rPr>
        <w:t>Note that there is no overlap of QCL_type1 and QCL_type2</w:t>
      </w:r>
    </w:p>
    <w:p w14:paraId="3D259B02" w14:textId="77777777" w:rsidR="0043710F" w:rsidRPr="00940D46" w:rsidRDefault="0043710F" w:rsidP="00583BC0">
      <w:pPr>
        <w:pStyle w:val="BodyText"/>
        <w:numPr>
          <w:ilvl w:val="1"/>
          <w:numId w:val="17"/>
        </w:numPr>
        <w:overflowPunct/>
        <w:autoSpaceDE/>
        <w:autoSpaceDN/>
        <w:adjustRightInd/>
        <w:spacing w:after="0"/>
        <w:textAlignment w:val="auto"/>
        <w:rPr>
          <w:rFonts w:ascii="Times" w:hAnsi="Times" w:cs="Times"/>
        </w:rPr>
      </w:pPr>
      <w:r w:rsidRPr="00940D46">
        <w:rPr>
          <w:rFonts w:ascii="Times" w:hAnsi="Times" w:cs="Times"/>
        </w:rPr>
        <w:t>DL Reference RS1| QCL_type1</w:t>
      </w:r>
    </w:p>
    <w:p w14:paraId="66B866E1" w14:textId="77777777" w:rsidR="0043710F" w:rsidRPr="00940D46" w:rsidRDefault="0043710F" w:rsidP="00583BC0">
      <w:pPr>
        <w:pStyle w:val="BodyText"/>
        <w:numPr>
          <w:ilvl w:val="1"/>
          <w:numId w:val="17"/>
        </w:numPr>
        <w:overflowPunct/>
        <w:autoSpaceDE/>
        <w:autoSpaceDN/>
        <w:adjustRightInd/>
        <w:spacing w:after="0"/>
        <w:textAlignment w:val="auto"/>
        <w:rPr>
          <w:rFonts w:ascii="Times" w:hAnsi="Times" w:cs="Times"/>
        </w:rPr>
      </w:pPr>
      <w:r w:rsidRPr="00940D46">
        <w:rPr>
          <w:rFonts w:ascii="Times" w:hAnsi="Times" w:cs="Times"/>
        </w:rPr>
        <w:t>Note that QCL_type1 and QCL_type2 are selected from {</w:t>
      </w:r>
      <w:r w:rsidRPr="00940D46">
        <w:rPr>
          <w:rFonts w:ascii="Times" w:hAnsi="Times" w:cs="Times"/>
          <w:lang w:val="en-US" w:eastAsia="ko-KR"/>
        </w:rPr>
        <w:t>QCL types A</w:t>
      </w:r>
      <w:r w:rsidRPr="00940D46">
        <w:rPr>
          <w:rFonts w:ascii="Times" w:hAnsi="Times" w:cs="Times"/>
        </w:rPr>
        <w:t xml:space="preserve">, </w:t>
      </w:r>
      <w:r w:rsidRPr="00940D46">
        <w:rPr>
          <w:rFonts w:ascii="Times" w:hAnsi="Times" w:cs="Times"/>
          <w:lang w:val="en-US" w:eastAsia="ko-KR"/>
        </w:rPr>
        <w:t>QCL types B</w:t>
      </w:r>
      <w:r w:rsidRPr="00940D46">
        <w:rPr>
          <w:rFonts w:ascii="Times" w:hAnsi="Times" w:cs="Times"/>
        </w:rPr>
        <w:t xml:space="preserve">, </w:t>
      </w:r>
      <w:r w:rsidRPr="00940D46">
        <w:rPr>
          <w:rFonts w:ascii="Times" w:hAnsi="Times" w:cs="Times"/>
          <w:lang w:val="en-US" w:eastAsia="ko-KR"/>
        </w:rPr>
        <w:t>QCL types C</w:t>
      </w:r>
      <w:r w:rsidRPr="00940D46">
        <w:rPr>
          <w:rFonts w:ascii="Times" w:hAnsi="Times" w:cs="Times"/>
        </w:rPr>
        <w:t xml:space="preserve">, </w:t>
      </w:r>
      <w:r w:rsidRPr="00940D46">
        <w:rPr>
          <w:rFonts w:ascii="Times" w:hAnsi="Times" w:cs="Times"/>
          <w:lang w:val="en-US" w:eastAsia="ko-KR"/>
        </w:rPr>
        <w:t>QCL types D</w:t>
      </w:r>
      <w:r w:rsidRPr="00940D46">
        <w:rPr>
          <w:rFonts w:ascii="Times" w:hAnsi="Times" w:cs="Times"/>
        </w:rPr>
        <w:t>}</w:t>
      </w:r>
    </w:p>
    <w:p w14:paraId="4B4FA6B2" w14:textId="77777777" w:rsidR="0043710F" w:rsidRPr="00940D46" w:rsidRDefault="0043710F" w:rsidP="00583BC0">
      <w:pPr>
        <w:pStyle w:val="BodyText"/>
        <w:numPr>
          <w:ilvl w:val="1"/>
          <w:numId w:val="17"/>
        </w:numPr>
        <w:overflowPunct/>
        <w:autoSpaceDE/>
        <w:autoSpaceDN/>
        <w:adjustRightInd/>
        <w:spacing w:after="0"/>
        <w:textAlignment w:val="auto"/>
        <w:rPr>
          <w:rFonts w:ascii="Times" w:hAnsi="Times" w:cs="Times"/>
        </w:rPr>
      </w:pPr>
      <w:r w:rsidRPr="00940D46">
        <w:rPr>
          <w:rFonts w:ascii="Times" w:hAnsi="Times" w:cs="Times"/>
        </w:rPr>
        <w:t xml:space="preserve">Note that if DL Reference RS1 and DL Reference RS2 are the same, both QCL types apply </w:t>
      </w:r>
    </w:p>
    <w:p w14:paraId="49BAD627" w14:textId="77777777" w:rsidR="0043710F" w:rsidRDefault="0043710F" w:rsidP="0043710F">
      <w:pPr>
        <w:spacing w:after="0"/>
      </w:pPr>
    </w:p>
    <w:p w14:paraId="1FB667B1" w14:textId="77777777" w:rsidR="0043710F" w:rsidRDefault="0043710F" w:rsidP="0043710F">
      <w:pPr>
        <w:spacing w:after="0"/>
      </w:pPr>
    </w:p>
    <w:p w14:paraId="33B4BCC1" w14:textId="77777777" w:rsidR="0043710F" w:rsidRPr="00B94F5A" w:rsidRDefault="0043710F" w:rsidP="0043710F">
      <w:pPr>
        <w:spacing w:after="0"/>
        <w:rPr>
          <w:b/>
          <w:highlight w:val="green"/>
        </w:rPr>
      </w:pPr>
      <w:r w:rsidRPr="00B94F5A">
        <w:rPr>
          <w:b/>
          <w:highlight w:val="green"/>
        </w:rPr>
        <w:t>Agreement #10</w:t>
      </w:r>
    </w:p>
    <w:p w14:paraId="37BA0E95" w14:textId="77777777" w:rsidR="0043710F" w:rsidRPr="00247F7C" w:rsidRDefault="0043710F" w:rsidP="00583BC0">
      <w:pPr>
        <w:pStyle w:val="ListParagraph"/>
        <w:numPr>
          <w:ilvl w:val="0"/>
          <w:numId w:val="11"/>
        </w:numPr>
        <w:spacing w:after="0"/>
      </w:pPr>
      <w:r w:rsidRPr="00247F7C">
        <w:t>Working assumption from RAN1#90 is confirmed:</w:t>
      </w:r>
    </w:p>
    <w:p w14:paraId="77CE3521" w14:textId="77777777" w:rsidR="0043710F" w:rsidRDefault="0043710F" w:rsidP="00583BC0">
      <w:pPr>
        <w:pStyle w:val="BodyText"/>
        <w:numPr>
          <w:ilvl w:val="1"/>
          <w:numId w:val="17"/>
        </w:numPr>
        <w:overflowPunct/>
        <w:autoSpaceDE/>
        <w:autoSpaceDN/>
        <w:adjustRightInd/>
        <w:spacing w:after="0"/>
        <w:textAlignment w:val="auto"/>
        <w:rPr>
          <w:rFonts w:ascii="Times" w:hAnsi="Times" w:cs="Times"/>
        </w:rPr>
      </w:pPr>
      <w:r w:rsidRPr="00731392">
        <w:rPr>
          <w:rFonts w:ascii="Times" w:hAnsi="Times" w:cs="Times"/>
        </w:rPr>
        <w:t>For beam management CSI-RS, NR supports higher layer configuration of a set of single-symbol CSI-RS resources where</w:t>
      </w:r>
    </w:p>
    <w:p w14:paraId="3CD92C5F" w14:textId="77777777" w:rsidR="0043710F" w:rsidRPr="00731392" w:rsidRDefault="0043710F" w:rsidP="00583BC0">
      <w:pPr>
        <w:pStyle w:val="BodyText"/>
        <w:numPr>
          <w:ilvl w:val="2"/>
          <w:numId w:val="17"/>
        </w:numPr>
        <w:overflowPunct/>
        <w:autoSpaceDE/>
        <w:autoSpaceDN/>
        <w:adjustRightInd/>
        <w:spacing w:after="0"/>
        <w:textAlignment w:val="auto"/>
        <w:rPr>
          <w:rFonts w:ascii="Times" w:hAnsi="Times" w:cs="Times"/>
        </w:rPr>
      </w:pPr>
      <w:r w:rsidRPr="00247F7C">
        <w:lastRenderedPageBreak/>
        <w:t>The set configuration contains an information element (IE) indicating whether repetition is “on/off”</w:t>
      </w:r>
    </w:p>
    <w:p w14:paraId="72881C3D" w14:textId="77777777" w:rsidR="0043710F" w:rsidRPr="00731392" w:rsidRDefault="0043710F" w:rsidP="00583BC0">
      <w:pPr>
        <w:pStyle w:val="BodyText"/>
        <w:numPr>
          <w:ilvl w:val="1"/>
          <w:numId w:val="17"/>
        </w:numPr>
        <w:overflowPunct/>
        <w:autoSpaceDE/>
        <w:autoSpaceDN/>
        <w:adjustRightInd/>
        <w:spacing w:after="0"/>
        <w:textAlignment w:val="auto"/>
        <w:rPr>
          <w:rFonts w:ascii="Times" w:hAnsi="Times" w:cs="Times"/>
        </w:rPr>
      </w:pPr>
      <w:r w:rsidRPr="00731392">
        <w:rPr>
          <w:rFonts w:ascii="Times" w:hAnsi="Times" w:cs="Times"/>
        </w:rPr>
        <w:t>Note: In this context, repetition “on/off” means:</w:t>
      </w:r>
    </w:p>
    <w:p w14:paraId="6AB0474B" w14:textId="77777777" w:rsidR="0043710F" w:rsidRPr="00247F7C" w:rsidRDefault="0043710F" w:rsidP="00583BC0">
      <w:pPr>
        <w:pStyle w:val="BodyText"/>
        <w:numPr>
          <w:ilvl w:val="2"/>
          <w:numId w:val="17"/>
        </w:numPr>
        <w:overflowPunct/>
        <w:autoSpaceDE/>
        <w:autoSpaceDN/>
        <w:adjustRightInd/>
        <w:spacing w:after="0"/>
        <w:textAlignment w:val="auto"/>
      </w:pPr>
      <w:r w:rsidRPr="008C34F0">
        <w:t xml:space="preserve">“On”: The UE may assume that the </w:t>
      </w:r>
      <w:proofErr w:type="spellStart"/>
      <w:r w:rsidRPr="008C34F0">
        <w:t>gNB</w:t>
      </w:r>
      <w:proofErr w:type="spellEnd"/>
      <w:r w:rsidRPr="008C34F0">
        <w:t xml:space="preserve"> maintains a fixed </w:t>
      </w:r>
      <w:proofErr w:type="spellStart"/>
      <w:r w:rsidRPr="008C34F0">
        <w:t>Tx</w:t>
      </w:r>
      <w:proofErr w:type="spellEnd"/>
      <w:r w:rsidRPr="008C34F0">
        <w:t xml:space="preserve"> beam</w:t>
      </w:r>
    </w:p>
    <w:p w14:paraId="07AC0142" w14:textId="77777777" w:rsidR="0043710F" w:rsidRPr="00247F7C" w:rsidRDefault="0043710F" w:rsidP="00583BC0">
      <w:pPr>
        <w:pStyle w:val="BodyText"/>
        <w:numPr>
          <w:ilvl w:val="2"/>
          <w:numId w:val="17"/>
        </w:numPr>
        <w:overflowPunct/>
        <w:autoSpaceDE/>
        <w:autoSpaceDN/>
        <w:adjustRightInd/>
        <w:spacing w:after="0"/>
        <w:textAlignment w:val="auto"/>
      </w:pPr>
      <w:r w:rsidRPr="008C34F0">
        <w:t xml:space="preserve">“Off”: The UE </w:t>
      </w:r>
      <w:proofErr w:type="spellStart"/>
      <w:r w:rsidRPr="008C34F0">
        <w:t>can not</w:t>
      </w:r>
      <w:proofErr w:type="spellEnd"/>
      <w:r w:rsidRPr="008C34F0">
        <w:t xml:space="preserve"> assume that the </w:t>
      </w:r>
      <w:proofErr w:type="spellStart"/>
      <w:r w:rsidRPr="008C34F0">
        <w:t>gNB</w:t>
      </w:r>
      <w:proofErr w:type="spellEnd"/>
      <w:r w:rsidRPr="008C34F0">
        <w:t xml:space="preserve"> maintains a fixed </w:t>
      </w:r>
      <w:proofErr w:type="spellStart"/>
      <w:r w:rsidRPr="008C34F0">
        <w:t>Tx</w:t>
      </w:r>
      <w:proofErr w:type="spellEnd"/>
      <w:r w:rsidRPr="008C34F0">
        <w:t xml:space="preserve"> beam</w:t>
      </w:r>
    </w:p>
    <w:p w14:paraId="6CB901DD" w14:textId="77777777" w:rsidR="0043710F" w:rsidRPr="00731392" w:rsidRDefault="0043710F" w:rsidP="00583BC0">
      <w:pPr>
        <w:pStyle w:val="BodyText"/>
        <w:numPr>
          <w:ilvl w:val="1"/>
          <w:numId w:val="17"/>
        </w:numPr>
        <w:overflowPunct/>
        <w:autoSpaceDE/>
        <w:autoSpaceDN/>
        <w:adjustRightInd/>
        <w:spacing w:after="0"/>
        <w:textAlignment w:val="auto"/>
        <w:rPr>
          <w:rFonts w:ascii="Times" w:hAnsi="Times" w:cs="Times"/>
        </w:rPr>
      </w:pPr>
      <w:r w:rsidRPr="00731392">
        <w:rPr>
          <w:rFonts w:ascii="Times" w:hAnsi="Times" w:cs="Times"/>
        </w:rPr>
        <w:t>Note: This does NOT necessarily mean that the CSI-RS resources in a set occupy adjacent symbols</w:t>
      </w:r>
    </w:p>
    <w:p w14:paraId="108960AB" w14:textId="77777777" w:rsidR="0043710F" w:rsidRPr="00247F7C" w:rsidRDefault="0043710F" w:rsidP="00583BC0">
      <w:pPr>
        <w:pStyle w:val="ListParagraph"/>
        <w:numPr>
          <w:ilvl w:val="0"/>
          <w:numId w:val="11"/>
        </w:numPr>
        <w:spacing w:after="0"/>
      </w:pPr>
      <w:r w:rsidRPr="00247F7C">
        <w:t>Furthermore, the following details are agreed</w:t>
      </w:r>
    </w:p>
    <w:p w14:paraId="014E2A76" w14:textId="77777777" w:rsidR="0043710F" w:rsidRPr="00F45FEE" w:rsidRDefault="0043710F" w:rsidP="00583BC0">
      <w:pPr>
        <w:pStyle w:val="BodyText"/>
        <w:numPr>
          <w:ilvl w:val="1"/>
          <w:numId w:val="17"/>
        </w:numPr>
        <w:overflowPunct/>
        <w:autoSpaceDE/>
        <w:autoSpaceDN/>
        <w:adjustRightInd/>
        <w:spacing w:after="0"/>
        <w:textAlignment w:val="auto"/>
        <w:rPr>
          <w:rFonts w:ascii="Times" w:hAnsi="Times" w:cs="Times"/>
        </w:rPr>
      </w:pPr>
      <w:r w:rsidRPr="00F45FEE">
        <w:rPr>
          <w:rFonts w:ascii="Times" w:hAnsi="Times" w:cs="Times"/>
        </w:rPr>
        <w:t xml:space="preserve">CSI-RS resources in the resource set are </w:t>
      </w:r>
      <w:proofErr w:type="spellStart"/>
      <w:r w:rsidRPr="00F45FEE">
        <w:rPr>
          <w:rFonts w:ascii="Times" w:hAnsi="Times" w:cs="Times"/>
        </w:rPr>
        <w:t>TDMed</w:t>
      </w:r>
      <w:proofErr w:type="spellEnd"/>
      <w:r w:rsidRPr="00F45FEE">
        <w:rPr>
          <w:rFonts w:ascii="Times" w:hAnsi="Times" w:cs="Times"/>
        </w:rPr>
        <w:t xml:space="preserve"> if repetition is ON </w:t>
      </w:r>
    </w:p>
    <w:p w14:paraId="2EBF9608" w14:textId="77777777" w:rsidR="0043710F" w:rsidRDefault="0043710F" w:rsidP="00583BC0">
      <w:pPr>
        <w:pStyle w:val="BodyText"/>
        <w:numPr>
          <w:ilvl w:val="2"/>
          <w:numId w:val="17"/>
        </w:numPr>
        <w:overflowPunct/>
        <w:autoSpaceDE/>
        <w:autoSpaceDN/>
        <w:adjustRightInd/>
        <w:spacing w:after="0"/>
        <w:textAlignment w:val="auto"/>
      </w:pPr>
      <w:r w:rsidRPr="00247F7C">
        <w:t>If repetition is ON, The UE does not expect different values for the following parameters across different CSI-RS resources within a resource set</w:t>
      </w:r>
    </w:p>
    <w:p w14:paraId="06EB8E59" w14:textId="77777777" w:rsidR="0043710F" w:rsidRDefault="0043710F" w:rsidP="00583BC0">
      <w:pPr>
        <w:pStyle w:val="BodyText"/>
        <w:numPr>
          <w:ilvl w:val="3"/>
          <w:numId w:val="17"/>
        </w:numPr>
        <w:overflowPunct/>
        <w:autoSpaceDE/>
        <w:autoSpaceDN/>
        <w:adjustRightInd/>
        <w:spacing w:after="0"/>
        <w:textAlignment w:val="auto"/>
      </w:pPr>
      <w:r w:rsidRPr="00247F7C">
        <w:t>Transmission periodicity</w:t>
      </w:r>
    </w:p>
    <w:p w14:paraId="15C0985B" w14:textId="77777777" w:rsidR="0043710F" w:rsidRDefault="0043710F" w:rsidP="00583BC0">
      <w:pPr>
        <w:pStyle w:val="BodyText"/>
        <w:numPr>
          <w:ilvl w:val="3"/>
          <w:numId w:val="18"/>
        </w:numPr>
        <w:overflowPunct/>
        <w:autoSpaceDE/>
        <w:autoSpaceDN/>
        <w:adjustRightInd/>
        <w:spacing w:after="0"/>
        <w:textAlignment w:val="auto"/>
      </w:pPr>
      <w:r w:rsidRPr="00247F7C">
        <w:t>Number of antenna port subject to RAN4 decision</w:t>
      </w:r>
    </w:p>
    <w:p w14:paraId="18A196BE" w14:textId="77777777" w:rsidR="0043710F" w:rsidRPr="00247F7C" w:rsidRDefault="0043710F" w:rsidP="00583BC0">
      <w:pPr>
        <w:pStyle w:val="BodyText"/>
        <w:numPr>
          <w:ilvl w:val="3"/>
          <w:numId w:val="18"/>
        </w:numPr>
        <w:overflowPunct/>
        <w:autoSpaceDE/>
        <w:autoSpaceDN/>
        <w:adjustRightInd/>
        <w:spacing w:after="0"/>
        <w:textAlignment w:val="auto"/>
      </w:pPr>
      <w:r w:rsidRPr="00247F7C">
        <w:t>FFS for other parameters</w:t>
      </w:r>
    </w:p>
    <w:p w14:paraId="151913F1" w14:textId="77777777" w:rsidR="0043710F" w:rsidRPr="003F4CCC" w:rsidRDefault="0043710F" w:rsidP="003F4CCC"/>
    <w:sectPr w:rsidR="0043710F" w:rsidRPr="003F4CCC" w:rsidSect="00C02A4C">
      <w:headerReference w:type="even" r:id="rId13"/>
      <w:footerReference w:type="default" r:id="rId1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9475F8" w14:textId="77777777" w:rsidR="00A91C25" w:rsidRDefault="00A91C25">
      <w:r>
        <w:separator/>
      </w:r>
    </w:p>
  </w:endnote>
  <w:endnote w:type="continuationSeparator" w:id="0">
    <w:p w14:paraId="4A3D3C51" w14:textId="77777777" w:rsidR="00A91C25" w:rsidRDefault="00A91C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icrosoft YaHei">
    <w:panose1 w:val="020B0503020204020204"/>
    <w:charset w:val="86"/>
    <w:family w:val="swiss"/>
    <w:pitch w:val="variable"/>
    <w:sig w:usb0="80000287" w:usb1="280F3C52" w:usb2="00000016" w:usb3="00000000" w:csb0="0004001F" w:csb1="00000000"/>
  </w:font>
  <w:font w:name="v3.7.0">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75E97F38" w:rsidR="00CE17DE" w:rsidRDefault="00CE17D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E359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E3595">
      <w:rPr>
        <w:rStyle w:val="PageNumber"/>
      </w:rPr>
      <w:t>12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A05079" w14:textId="77777777" w:rsidR="00A91C25" w:rsidRDefault="00A91C25">
      <w:r>
        <w:separator/>
      </w:r>
    </w:p>
  </w:footnote>
  <w:footnote w:type="continuationSeparator" w:id="0">
    <w:p w14:paraId="76CE1525" w14:textId="77777777" w:rsidR="00A91C25" w:rsidRDefault="00A91C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CE17DE" w:rsidRDefault="00CE17D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592754"/>
    <w:multiLevelType w:val="hybridMultilevel"/>
    <w:tmpl w:val="00FAC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FA403F"/>
    <w:multiLevelType w:val="hybridMultilevel"/>
    <w:tmpl w:val="C812E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2045C"/>
    <w:multiLevelType w:val="hybridMultilevel"/>
    <w:tmpl w:val="FE34AD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3607A68"/>
    <w:multiLevelType w:val="hybridMultilevel"/>
    <w:tmpl w:val="6A1E6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CD59EA"/>
    <w:multiLevelType w:val="hybridMultilevel"/>
    <w:tmpl w:val="6CCAE6A6"/>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0" w15:restartNumberingAfterBreak="0">
    <w:nsid w:val="14041E4B"/>
    <w:multiLevelType w:val="hybridMultilevel"/>
    <w:tmpl w:val="CBA85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9712D1"/>
    <w:multiLevelType w:val="hybridMultilevel"/>
    <w:tmpl w:val="900EF4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99002F"/>
    <w:multiLevelType w:val="hybridMultilevel"/>
    <w:tmpl w:val="7C1236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C62C12"/>
    <w:multiLevelType w:val="hybridMultilevel"/>
    <w:tmpl w:val="E794B5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E560F1"/>
    <w:multiLevelType w:val="hybridMultilevel"/>
    <w:tmpl w:val="743477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F476B4F"/>
    <w:multiLevelType w:val="hybridMultilevel"/>
    <w:tmpl w:val="653402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25709CA4">
      <w:numFmt w:val="bullet"/>
      <w:lvlText w:val="-"/>
      <w:lvlJc w:val="left"/>
      <w:pPr>
        <w:ind w:left="2160" w:hanging="360"/>
      </w:pPr>
      <w:rPr>
        <w:rFonts w:ascii="Times" w:eastAsia="SimSun"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591641"/>
    <w:multiLevelType w:val="hybridMultilevel"/>
    <w:tmpl w:val="894C9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613EBD"/>
    <w:multiLevelType w:val="hybridMultilevel"/>
    <w:tmpl w:val="130058D0"/>
    <w:lvl w:ilvl="0" w:tplc="B99070C0">
      <w:start w:val="213"/>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 w15:restartNumberingAfterBreak="0">
    <w:nsid w:val="3BA20699"/>
    <w:multiLevelType w:val="hybridMultilevel"/>
    <w:tmpl w:val="78BE7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40A23A63"/>
    <w:multiLevelType w:val="hybridMultilevel"/>
    <w:tmpl w:val="6A8E5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DD221A"/>
    <w:multiLevelType w:val="hybridMultilevel"/>
    <w:tmpl w:val="EB280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35678FB"/>
    <w:multiLevelType w:val="hybridMultilevel"/>
    <w:tmpl w:val="01F8F4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5FB0253"/>
    <w:multiLevelType w:val="hybridMultilevel"/>
    <w:tmpl w:val="EF4CE050"/>
    <w:lvl w:ilvl="0" w:tplc="2AFA268E">
      <w:start w:val="1"/>
      <w:numFmt w:val="bullet"/>
      <w:lvlText w:val="•"/>
      <w:lvlJc w:val="left"/>
      <w:pPr>
        <w:tabs>
          <w:tab w:val="num" w:pos="720"/>
        </w:tabs>
        <w:ind w:left="720" w:hanging="360"/>
      </w:pPr>
      <w:rPr>
        <w:rFonts w:ascii="Arial" w:hAnsi="Arial" w:hint="default"/>
      </w:rPr>
    </w:lvl>
    <w:lvl w:ilvl="1" w:tplc="5B70432C">
      <w:numFmt w:val="bullet"/>
      <w:lvlText w:val="•"/>
      <w:lvlJc w:val="left"/>
      <w:pPr>
        <w:tabs>
          <w:tab w:val="num" w:pos="1440"/>
        </w:tabs>
        <w:ind w:left="1440" w:hanging="360"/>
      </w:pPr>
      <w:rPr>
        <w:rFonts w:ascii="Arial" w:hAnsi="Arial" w:hint="default"/>
      </w:rPr>
    </w:lvl>
    <w:lvl w:ilvl="2" w:tplc="59488BEE">
      <w:start w:val="1"/>
      <w:numFmt w:val="bullet"/>
      <w:lvlText w:val="•"/>
      <w:lvlJc w:val="left"/>
      <w:pPr>
        <w:tabs>
          <w:tab w:val="num" w:pos="2160"/>
        </w:tabs>
        <w:ind w:left="2160" w:hanging="360"/>
      </w:pPr>
      <w:rPr>
        <w:rFonts w:ascii="Arial" w:hAnsi="Arial" w:hint="default"/>
      </w:rPr>
    </w:lvl>
    <w:lvl w:ilvl="3" w:tplc="90242516" w:tentative="1">
      <w:start w:val="1"/>
      <w:numFmt w:val="bullet"/>
      <w:lvlText w:val="•"/>
      <w:lvlJc w:val="left"/>
      <w:pPr>
        <w:tabs>
          <w:tab w:val="num" w:pos="2880"/>
        </w:tabs>
        <w:ind w:left="2880" w:hanging="360"/>
      </w:pPr>
      <w:rPr>
        <w:rFonts w:ascii="Arial" w:hAnsi="Arial" w:hint="default"/>
      </w:rPr>
    </w:lvl>
    <w:lvl w:ilvl="4" w:tplc="1556CEB0" w:tentative="1">
      <w:start w:val="1"/>
      <w:numFmt w:val="bullet"/>
      <w:lvlText w:val="•"/>
      <w:lvlJc w:val="left"/>
      <w:pPr>
        <w:tabs>
          <w:tab w:val="num" w:pos="3600"/>
        </w:tabs>
        <w:ind w:left="3600" w:hanging="360"/>
      </w:pPr>
      <w:rPr>
        <w:rFonts w:ascii="Arial" w:hAnsi="Arial" w:hint="default"/>
      </w:rPr>
    </w:lvl>
    <w:lvl w:ilvl="5" w:tplc="CB5E6958" w:tentative="1">
      <w:start w:val="1"/>
      <w:numFmt w:val="bullet"/>
      <w:lvlText w:val="•"/>
      <w:lvlJc w:val="left"/>
      <w:pPr>
        <w:tabs>
          <w:tab w:val="num" w:pos="4320"/>
        </w:tabs>
        <w:ind w:left="4320" w:hanging="360"/>
      </w:pPr>
      <w:rPr>
        <w:rFonts w:ascii="Arial" w:hAnsi="Arial" w:hint="default"/>
      </w:rPr>
    </w:lvl>
    <w:lvl w:ilvl="6" w:tplc="C69E3BCE" w:tentative="1">
      <w:start w:val="1"/>
      <w:numFmt w:val="bullet"/>
      <w:lvlText w:val="•"/>
      <w:lvlJc w:val="left"/>
      <w:pPr>
        <w:tabs>
          <w:tab w:val="num" w:pos="5040"/>
        </w:tabs>
        <w:ind w:left="5040" w:hanging="360"/>
      </w:pPr>
      <w:rPr>
        <w:rFonts w:ascii="Arial" w:hAnsi="Arial" w:hint="default"/>
      </w:rPr>
    </w:lvl>
    <w:lvl w:ilvl="7" w:tplc="9BBAC172" w:tentative="1">
      <w:start w:val="1"/>
      <w:numFmt w:val="bullet"/>
      <w:lvlText w:val="•"/>
      <w:lvlJc w:val="left"/>
      <w:pPr>
        <w:tabs>
          <w:tab w:val="num" w:pos="5760"/>
        </w:tabs>
        <w:ind w:left="5760" w:hanging="360"/>
      </w:pPr>
      <w:rPr>
        <w:rFonts w:ascii="Arial" w:hAnsi="Arial" w:hint="default"/>
      </w:rPr>
    </w:lvl>
    <w:lvl w:ilvl="8" w:tplc="C8064C1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6FF5F4A"/>
    <w:multiLevelType w:val="hybridMultilevel"/>
    <w:tmpl w:val="4C7E0A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9273039"/>
    <w:multiLevelType w:val="hybridMultilevel"/>
    <w:tmpl w:val="4E5A4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0949ED"/>
    <w:multiLevelType w:val="hybridMultilevel"/>
    <w:tmpl w:val="7D2A2AB2"/>
    <w:lvl w:ilvl="0" w:tplc="2AFA268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BCD3BA1"/>
    <w:multiLevelType w:val="hybridMultilevel"/>
    <w:tmpl w:val="BEB6DF42"/>
    <w:lvl w:ilvl="0" w:tplc="707A8D0C">
      <w:start w:val="1"/>
      <w:numFmt w:val="bullet"/>
      <w:lvlText w:val="•"/>
      <w:lvlJc w:val="left"/>
      <w:pPr>
        <w:tabs>
          <w:tab w:val="num" w:pos="720"/>
        </w:tabs>
        <w:ind w:left="720" w:hanging="360"/>
      </w:pPr>
      <w:rPr>
        <w:rFonts w:ascii="Arial" w:hAnsi="Arial" w:hint="default"/>
      </w:rPr>
    </w:lvl>
    <w:lvl w:ilvl="1" w:tplc="86FCDA2C">
      <w:start w:val="1104"/>
      <w:numFmt w:val="bullet"/>
      <w:lvlText w:val="•"/>
      <w:lvlJc w:val="left"/>
      <w:pPr>
        <w:tabs>
          <w:tab w:val="num" w:pos="1440"/>
        </w:tabs>
        <w:ind w:left="1440" w:hanging="360"/>
      </w:pPr>
      <w:rPr>
        <w:rFonts w:ascii="Arial" w:hAnsi="Arial" w:hint="default"/>
      </w:rPr>
    </w:lvl>
    <w:lvl w:ilvl="2" w:tplc="457ACC08">
      <w:start w:val="1104"/>
      <w:numFmt w:val="bullet"/>
      <w:lvlText w:val="•"/>
      <w:lvlJc w:val="left"/>
      <w:pPr>
        <w:tabs>
          <w:tab w:val="num" w:pos="2160"/>
        </w:tabs>
        <w:ind w:left="2160" w:hanging="360"/>
      </w:pPr>
      <w:rPr>
        <w:rFonts w:ascii="Arial" w:hAnsi="Arial" w:hint="default"/>
      </w:rPr>
    </w:lvl>
    <w:lvl w:ilvl="3" w:tplc="EB56EE6C" w:tentative="1">
      <w:start w:val="1"/>
      <w:numFmt w:val="bullet"/>
      <w:lvlText w:val="•"/>
      <w:lvlJc w:val="left"/>
      <w:pPr>
        <w:tabs>
          <w:tab w:val="num" w:pos="2880"/>
        </w:tabs>
        <w:ind w:left="2880" w:hanging="360"/>
      </w:pPr>
      <w:rPr>
        <w:rFonts w:ascii="Arial" w:hAnsi="Arial" w:hint="default"/>
      </w:rPr>
    </w:lvl>
    <w:lvl w:ilvl="4" w:tplc="27AAFD98" w:tentative="1">
      <w:start w:val="1"/>
      <w:numFmt w:val="bullet"/>
      <w:lvlText w:val="•"/>
      <w:lvlJc w:val="left"/>
      <w:pPr>
        <w:tabs>
          <w:tab w:val="num" w:pos="3600"/>
        </w:tabs>
        <w:ind w:left="3600" w:hanging="360"/>
      </w:pPr>
      <w:rPr>
        <w:rFonts w:ascii="Arial" w:hAnsi="Arial" w:hint="default"/>
      </w:rPr>
    </w:lvl>
    <w:lvl w:ilvl="5" w:tplc="61A21EBA" w:tentative="1">
      <w:start w:val="1"/>
      <w:numFmt w:val="bullet"/>
      <w:lvlText w:val="•"/>
      <w:lvlJc w:val="left"/>
      <w:pPr>
        <w:tabs>
          <w:tab w:val="num" w:pos="4320"/>
        </w:tabs>
        <w:ind w:left="4320" w:hanging="360"/>
      </w:pPr>
      <w:rPr>
        <w:rFonts w:ascii="Arial" w:hAnsi="Arial" w:hint="default"/>
      </w:rPr>
    </w:lvl>
    <w:lvl w:ilvl="6" w:tplc="50E2773C" w:tentative="1">
      <w:start w:val="1"/>
      <w:numFmt w:val="bullet"/>
      <w:lvlText w:val="•"/>
      <w:lvlJc w:val="left"/>
      <w:pPr>
        <w:tabs>
          <w:tab w:val="num" w:pos="5040"/>
        </w:tabs>
        <w:ind w:left="5040" w:hanging="360"/>
      </w:pPr>
      <w:rPr>
        <w:rFonts w:ascii="Arial" w:hAnsi="Arial" w:hint="default"/>
      </w:rPr>
    </w:lvl>
    <w:lvl w:ilvl="7" w:tplc="B6F08D92" w:tentative="1">
      <w:start w:val="1"/>
      <w:numFmt w:val="bullet"/>
      <w:lvlText w:val="•"/>
      <w:lvlJc w:val="left"/>
      <w:pPr>
        <w:tabs>
          <w:tab w:val="num" w:pos="5760"/>
        </w:tabs>
        <w:ind w:left="5760" w:hanging="360"/>
      </w:pPr>
      <w:rPr>
        <w:rFonts w:ascii="Arial" w:hAnsi="Arial" w:hint="default"/>
      </w:rPr>
    </w:lvl>
    <w:lvl w:ilvl="8" w:tplc="A410737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D015942"/>
    <w:multiLevelType w:val="hybridMultilevel"/>
    <w:tmpl w:val="79AC4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09E13C8"/>
    <w:multiLevelType w:val="hybridMultilevel"/>
    <w:tmpl w:val="13029458"/>
    <w:lvl w:ilvl="0" w:tplc="04090001">
      <w:start w:val="1"/>
      <w:numFmt w:val="bullet"/>
      <w:lvlText w:val=""/>
      <w:lvlJc w:val="left"/>
      <w:pPr>
        <w:ind w:left="1285" w:hanging="360"/>
      </w:pPr>
      <w:rPr>
        <w:rFonts w:ascii="Symbol" w:hAnsi="Symbol" w:hint="default"/>
      </w:rPr>
    </w:lvl>
    <w:lvl w:ilvl="1" w:tplc="04090003">
      <w:start w:val="1"/>
      <w:numFmt w:val="bullet"/>
      <w:lvlText w:val="o"/>
      <w:lvlJc w:val="left"/>
      <w:pPr>
        <w:ind w:left="2005" w:hanging="360"/>
      </w:pPr>
      <w:rPr>
        <w:rFonts w:ascii="Courier New" w:hAnsi="Courier New" w:cs="Courier New" w:hint="default"/>
      </w:rPr>
    </w:lvl>
    <w:lvl w:ilvl="2" w:tplc="04090005">
      <w:start w:val="1"/>
      <w:numFmt w:val="bullet"/>
      <w:lvlText w:val=""/>
      <w:lvlJc w:val="left"/>
      <w:pPr>
        <w:ind w:left="2725" w:hanging="360"/>
      </w:pPr>
      <w:rPr>
        <w:rFonts w:ascii="Wingdings" w:hAnsi="Wingdings" w:hint="default"/>
      </w:rPr>
    </w:lvl>
    <w:lvl w:ilvl="3" w:tplc="04090001" w:tentative="1">
      <w:start w:val="1"/>
      <w:numFmt w:val="bullet"/>
      <w:lvlText w:val=""/>
      <w:lvlJc w:val="left"/>
      <w:pPr>
        <w:ind w:left="3445" w:hanging="360"/>
      </w:pPr>
      <w:rPr>
        <w:rFonts w:ascii="Symbol" w:hAnsi="Symbol" w:hint="default"/>
      </w:rPr>
    </w:lvl>
    <w:lvl w:ilvl="4" w:tplc="04090003" w:tentative="1">
      <w:start w:val="1"/>
      <w:numFmt w:val="bullet"/>
      <w:lvlText w:val="o"/>
      <w:lvlJc w:val="left"/>
      <w:pPr>
        <w:ind w:left="4165" w:hanging="360"/>
      </w:pPr>
      <w:rPr>
        <w:rFonts w:ascii="Courier New" w:hAnsi="Courier New" w:cs="Courier New" w:hint="default"/>
      </w:rPr>
    </w:lvl>
    <w:lvl w:ilvl="5" w:tplc="04090005" w:tentative="1">
      <w:start w:val="1"/>
      <w:numFmt w:val="bullet"/>
      <w:lvlText w:val=""/>
      <w:lvlJc w:val="left"/>
      <w:pPr>
        <w:ind w:left="4885" w:hanging="360"/>
      </w:pPr>
      <w:rPr>
        <w:rFonts w:ascii="Wingdings" w:hAnsi="Wingdings" w:hint="default"/>
      </w:rPr>
    </w:lvl>
    <w:lvl w:ilvl="6" w:tplc="04090001" w:tentative="1">
      <w:start w:val="1"/>
      <w:numFmt w:val="bullet"/>
      <w:lvlText w:val=""/>
      <w:lvlJc w:val="left"/>
      <w:pPr>
        <w:ind w:left="5605" w:hanging="360"/>
      </w:pPr>
      <w:rPr>
        <w:rFonts w:ascii="Symbol" w:hAnsi="Symbol" w:hint="default"/>
      </w:rPr>
    </w:lvl>
    <w:lvl w:ilvl="7" w:tplc="04090003" w:tentative="1">
      <w:start w:val="1"/>
      <w:numFmt w:val="bullet"/>
      <w:lvlText w:val="o"/>
      <w:lvlJc w:val="left"/>
      <w:pPr>
        <w:ind w:left="6325" w:hanging="360"/>
      </w:pPr>
      <w:rPr>
        <w:rFonts w:ascii="Courier New" w:hAnsi="Courier New" w:cs="Courier New" w:hint="default"/>
      </w:rPr>
    </w:lvl>
    <w:lvl w:ilvl="8" w:tplc="04090005" w:tentative="1">
      <w:start w:val="1"/>
      <w:numFmt w:val="bullet"/>
      <w:lvlText w:val=""/>
      <w:lvlJc w:val="left"/>
      <w:pPr>
        <w:ind w:left="7045" w:hanging="360"/>
      </w:pPr>
      <w:rPr>
        <w:rFonts w:ascii="Wingdings" w:hAnsi="Wingdings" w:hint="default"/>
      </w:rPr>
    </w:lvl>
  </w:abstractNum>
  <w:abstractNum w:abstractNumId="3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5E91C75"/>
    <w:multiLevelType w:val="hybridMultilevel"/>
    <w:tmpl w:val="DBB66A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CEF0DEF"/>
    <w:multiLevelType w:val="hybridMultilevel"/>
    <w:tmpl w:val="80DC1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05433D"/>
    <w:multiLevelType w:val="hybridMultilevel"/>
    <w:tmpl w:val="791EE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987392"/>
    <w:multiLevelType w:val="hybridMultilevel"/>
    <w:tmpl w:val="DB6A1ED4"/>
    <w:lvl w:ilvl="0" w:tplc="F9D64C30">
      <w:start w:val="1"/>
      <w:numFmt w:val="bullet"/>
      <w:lvlText w:val="•"/>
      <w:lvlJc w:val="left"/>
      <w:pPr>
        <w:tabs>
          <w:tab w:val="num" w:pos="720"/>
        </w:tabs>
        <w:ind w:left="720" w:hanging="360"/>
      </w:pPr>
      <w:rPr>
        <w:rFonts w:ascii="Arial" w:hAnsi="Arial" w:hint="default"/>
      </w:rPr>
    </w:lvl>
    <w:lvl w:ilvl="1" w:tplc="1D8C0DAE">
      <w:numFmt w:val="bullet"/>
      <w:lvlText w:val="–"/>
      <w:lvlJc w:val="left"/>
      <w:pPr>
        <w:tabs>
          <w:tab w:val="num" w:pos="1440"/>
        </w:tabs>
        <w:ind w:left="1440" w:hanging="360"/>
      </w:pPr>
      <w:rPr>
        <w:rFonts w:ascii="Arial" w:hAnsi="Arial" w:hint="default"/>
      </w:rPr>
    </w:lvl>
    <w:lvl w:ilvl="2" w:tplc="205236AC">
      <w:numFmt w:val="bullet"/>
      <w:lvlText w:val="•"/>
      <w:lvlJc w:val="left"/>
      <w:pPr>
        <w:tabs>
          <w:tab w:val="num" w:pos="2160"/>
        </w:tabs>
        <w:ind w:left="2160" w:hanging="360"/>
      </w:pPr>
      <w:rPr>
        <w:rFonts w:ascii="Arial" w:hAnsi="Arial" w:hint="default"/>
      </w:rPr>
    </w:lvl>
    <w:lvl w:ilvl="3" w:tplc="D8221AEA" w:tentative="1">
      <w:start w:val="1"/>
      <w:numFmt w:val="bullet"/>
      <w:lvlText w:val="•"/>
      <w:lvlJc w:val="left"/>
      <w:pPr>
        <w:tabs>
          <w:tab w:val="num" w:pos="2880"/>
        </w:tabs>
        <w:ind w:left="2880" w:hanging="360"/>
      </w:pPr>
      <w:rPr>
        <w:rFonts w:ascii="Arial" w:hAnsi="Arial" w:hint="default"/>
      </w:rPr>
    </w:lvl>
    <w:lvl w:ilvl="4" w:tplc="D1CAB132" w:tentative="1">
      <w:start w:val="1"/>
      <w:numFmt w:val="bullet"/>
      <w:lvlText w:val="•"/>
      <w:lvlJc w:val="left"/>
      <w:pPr>
        <w:tabs>
          <w:tab w:val="num" w:pos="3600"/>
        </w:tabs>
        <w:ind w:left="3600" w:hanging="360"/>
      </w:pPr>
      <w:rPr>
        <w:rFonts w:ascii="Arial" w:hAnsi="Arial" w:hint="default"/>
      </w:rPr>
    </w:lvl>
    <w:lvl w:ilvl="5" w:tplc="526C81B4" w:tentative="1">
      <w:start w:val="1"/>
      <w:numFmt w:val="bullet"/>
      <w:lvlText w:val="•"/>
      <w:lvlJc w:val="left"/>
      <w:pPr>
        <w:tabs>
          <w:tab w:val="num" w:pos="4320"/>
        </w:tabs>
        <w:ind w:left="4320" w:hanging="360"/>
      </w:pPr>
      <w:rPr>
        <w:rFonts w:ascii="Arial" w:hAnsi="Arial" w:hint="default"/>
      </w:rPr>
    </w:lvl>
    <w:lvl w:ilvl="6" w:tplc="75A24724" w:tentative="1">
      <w:start w:val="1"/>
      <w:numFmt w:val="bullet"/>
      <w:lvlText w:val="•"/>
      <w:lvlJc w:val="left"/>
      <w:pPr>
        <w:tabs>
          <w:tab w:val="num" w:pos="5040"/>
        </w:tabs>
        <w:ind w:left="5040" w:hanging="360"/>
      </w:pPr>
      <w:rPr>
        <w:rFonts w:ascii="Arial" w:hAnsi="Arial" w:hint="default"/>
      </w:rPr>
    </w:lvl>
    <w:lvl w:ilvl="7" w:tplc="8E2E0DF0" w:tentative="1">
      <w:start w:val="1"/>
      <w:numFmt w:val="bullet"/>
      <w:lvlText w:val="•"/>
      <w:lvlJc w:val="left"/>
      <w:pPr>
        <w:tabs>
          <w:tab w:val="num" w:pos="5760"/>
        </w:tabs>
        <w:ind w:left="5760" w:hanging="360"/>
      </w:pPr>
      <w:rPr>
        <w:rFonts w:ascii="Arial" w:hAnsi="Arial" w:hint="default"/>
      </w:rPr>
    </w:lvl>
    <w:lvl w:ilvl="8" w:tplc="F37804DE"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63D5851"/>
    <w:multiLevelType w:val="hybridMultilevel"/>
    <w:tmpl w:val="E378F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572DE2"/>
    <w:multiLevelType w:val="hybridMultilevel"/>
    <w:tmpl w:val="03124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93A0188"/>
    <w:multiLevelType w:val="hybridMultilevel"/>
    <w:tmpl w:val="B6C2B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A351AB4"/>
    <w:multiLevelType w:val="hybridMultilevel"/>
    <w:tmpl w:val="2B3E4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BC86905"/>
    <w:multiLevelType w:val="hybridMultilevel"/>
    <w:tmpl w:val="7F0C7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D847981"/>
    <w:multiLevelType w:val="hybridMultilevel"/>
    <w:tmpl w:val="E0F260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34"/>
  </w:num>
  <w:num w:numId="3">
    <w:abstractNumId w:val="21"/>
  </w:num>
  <w:num w:numId="4">
    <w:abstractNumId w:val="24"/>
  </w:num>
  <w:num w:numId="5">
    <w:abstractNumId w:val="17"/>
  </w:num>
  <w:num w:numId="6">
    <w:abstractNumId w:val="27"/>
  </w:num>
  <w:num w:numId="7">
    <w:abstractNumId w:val="39"/>
  </w:num>
  <w:num w:numId="8">
    <w:abstractNumId w:val="18"/>
  </w:num>
  <w:num w:numId="9">
    <w:abstractNumId w:val="37"/>
  </w:num>
  <w:num w:numId="10">
    <w:abstractNumId w:val="19"/>
  </w:num>
  <w:num w:numId="11">
    <w:abstractNumId w:val="13"/>
  </w:num>
  <w:num w:numId="12">
    <w:abstractNumId w:val="41"/>
  </w:num>
  <w:num w:numId="13">
    <w:abstractNumId w:val="29"/>
  </w:num>
  <w:num w:numId="14">
    <w:abstractNumId w:val="32"/>
  </w:num>
  <w:num w:numId="15">
    <w:abstractNumId w:val="7"/>
  </w:num>
  <w:num w:numId="16">
    <w:abstractNumId w:val="43"/>
  </w:num>
  <w:num w:numId="17">
    <w:abstractNumId w:val="38"/>
  </w:num>
  <w:num w:numId="18">
    <w:abstractNumId w:val="46"/>
  </w:num>
  <w:num w:numId="19">
    <w:abstractNumId w:val="33"/>
  </w:num>
  <w:num w:numId="20">
    <w:abstractNumId w:val="40"/>
  </w:num>
  <w:num w:numId="21">
    <w:abstractNumId w:val="26"/>
  </w:num>
  <w:num w:numId="22">
    <w:abstractNumId w:val="49"/>
  </w:num>
  <w:num w:numId="23">
    <w:abstractNumId w:val="35"/>
  </w:num>
  <w:num w:numId="24">
    <w:abstractNumId w:val="30"/>
  </w:num>
  <w:num w:numId="25">
    <w:abstractNumId w:val="20"/>
  </w:num>
  <w:num w:numId="26">
    <w:abstractNumId w:val="11"/>
  </w:num>
  <w:num w:numId="27">
    <w:abstractNumId w:val="36"/>
  </w:num>
  <w:num w:numId="28">
    <w:abstractNumId w:val="5"/>
  </w:num>
  <w:num w:numId="29">
    <w:abstractNumId w:val="48"/>
  </w:num>
  <w:num w:numId="30">
    <w:abstractNumId w:val="47"/>
  </w:num>
  <w:num w:numId="31">
    <w:abstractNumId w:val="10"/>
  </w:num>
  <w:num w:numId="32">
    <w:abstractNumId w:val="9"/>
  </w:num>
  <w:num w:numId="33">
    <w:abstractNumId w:val="16"/>
  </w:num>
  <w:num w:numId="34">
    <w:abstractNumId w:val="25"/>
  </w:num>
  <w:num w:numId="35">
    <w:abstractNumId w:val="6"/>
  </w:num>
  <w:num w:numId="36">
    <w:abstractNumId w:val="14"/>
  </w:num>
  <w:num w:numId="37">
    <w:abstractNumId w:val="50"/>
  </w:num>
  <w:num w:numId="38">
    <w:abstractNumId w:val="31"/>
  </w:num>
  <w:num w:numId="39">
    <w:abstractNumId w:val="42"/>
  </w:num>
  <w:num w:numId="40">
    <w:abstractNumId w:val="44"/>
  </w:num>
  <w:num w:numId="41">
    <w:abstractNumId w:val="12"/>
  </w:num>
  <w:num w:numId="42">
    <w:abstractNumId w:val="4"/>
  </w:num>
  <w:num w:numId="43">
    <w:abstractNumId w:val="8"/>
  </w:num>
  <w:num w:numId="44">
    <w:abstractNumId w:val="28"/>
  </w:num>
  <w:num w:numId="45">
    <w:abstractNumId w:val="15"/>
  </w:num>
  <w:num w:numId="46">
    <w:abstractNumId w:val="2"/>
  </w:num>
  <w:num w:numId="47">
    <w:abstractNumId w:val="1"/>
  </w:num>
  <w:num w:numId="48">
    <w:abstractNumId w:val="0"/>
  </w:num>
  <w:num w:numId="49">
    <w:abstractNumId w:val="45"/>
  </w:num>
  <w:num w:numId="50">
    <w:abstractNumId w:val="22"/>
    <w:lvlOverride w:ilvl="0"/>
    <w:lvlOverride w:ilvl="1"/>
    <w:lvlOverride w:ilvl="2"/>
    <w:lvlOverride w:ilvl="3"/>
    <w:lvlOverride w:ilvl="4"/>
    <w:lvlOverride w:ilvl="5"/>
    <w:lvlOverride w:ilvl="6"/>
    <w:lvlOverride w:ilvl="7"/>
    <w:lvlOverride w:ilvl="8"/>
  </w:num>
  <w:num w:numId="51">
    <w:abstractNumId w:val="23"/>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1"/>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37AA"/>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44B"/>
    <w:rsid w:val="0006487E"/>
    <w:rsid w:val="00065E1A"/>
    <w:rsid w:val="00077E5F"/>
    <w:rsid w:val="0008036A"/>
    <w:rsid w:val="0008103B"/>
    <w:rsid w:val="00081AE6"/>
    <w:rsid w:val="000855EB"/>
    <w:rsid w:val="00085B52"/>
    <w:rsid w:val="000866F2"/>
    <w:rsid w:val="0009009F"/>
    <w:rsid w:val="00091557"/>
    <w:rsid w:val="000924C1"/>
    <w:rsid w:val="000924F0"/>
    <w:rsid w:val="00093474"/>
    <w:rsid w:val="0009510F"/>
    <w:rsid w:val="000A1B7B"/>
    <w:rsid w:val="000A45A1"/>
    <w:rsid w:val="000A56F2"/>
    <w:rsid w:val="000B26AC"/>
    <w:rsid w:val="000B2719"/>
    <w:rsid w:val="000B3A8F"/>
    <w:rsid w:val="000B3DE7"/>
    <w:rsid w:val="000B4AB9"/>
    <w:rsid w:val="000B58C3"/>
    <w:rsid w:val="000B61E9"/>
    <w:rsid w:val="000C165A"/>
    <w:rsid w:val="000C2E19"/>
    <w:rsid w:val="000C4C24"/>
    <w:rsid w:val="000C5734"/>
    <w:rsid w:val="000D0D07"/>
    <w:rsid w:val="000D4797"/>
    <w:rsid w:val="000E0527"/>
    <w:rsid w:val="000E1E92"/>
    <w:rsid w:val="000E6507"/>
    <w:rsid w:val="000E7B46"/>
    <w:rsid w:val="000F06D6"/>
    <w:rsid w:val="000F0EB1"/>
    <w:rsid w:val="000F1106"/>
    <w:rsid w:val="000F3BE9"/>
    <w:rsid w:val="000F3F6C"/>
    <w:rsid w:val="000F47B2"/>
    <w:rsid w:val="000F6DF3"/>
    <w:rsid w:val="000F7059"/>
    <w:rsid w:val="001005FF"/>
    <w:rsid w:val="00101074"/>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53FC"/>
    <w:rsid w:val="00137AB5"/>
    <w:rsid w:val="00137F0B"/>
    <w:rsid w:val="001468F5"/>
    <w:rsid w:val="00146DAD"/>
    <w:rsid w:val="00151E23"/>
    <w:rsid w:val="001526E0"/>
    <w:rsid w:val="0015373E"/>
    <w:rsid w:val="001551B5"/>
    <w:rsid w:val="001642D1"/>
    <w:rsid w:val="001659C1"/>
    <w:rsid w:val="00165F98"/>
    <w:rsid w:val="00173A8E"/>
    <w:rsid w:val="00175EC6"/>
    <w:rsid w:val="00180B7C"/>
    <w:rsid w:val="0018143F"/>
    <w:rsid w:val="001814EF"/>
    <w:rsid w:val="00185C42"/>
    <w:rsid w:val="00190AC1"/>
    <w:rsid w:val="0019341A"/>
    <w:rsid w:val="001965C2"/>
    <w:rsid w:val="00197DF9"/>
    <w:rsid w:val="001A1987"/>
    <w:rsid w:val="001A2564"/>
    <w:rsid w:val="001A3397"/>
    <w:rsid w:val="001A6173"/>
    <w:rsid w:val="001A61C6"/>
    <w:rsid w:val="001A6CBA"/>
    <w:rsid w:val="001B0D97"/>
    <w:rsid w:val="001B3ECC"/>
    <w:rsid w:val="001B5A5D"/>
    <w:rsid w:val="001C0422"/>
    <w:rsid w:val="001C1CE5"/>
    <w:rsid w:val="001C3D2A"/>
    <w:rsid w:val="001C5CC6"/>
    <w:rsid w:val="001C63B2"/>
    <w:rsid w:val="001D3D5D"/>
    <w:rsid w:val="001D51BA"/>
    <w:rsid w:val="001D6342"/>
    <w:rsid w:val="001D6D53"/>
    <w:rsid w:val="001E2560"/>
    <w:rsid w:val="001E58E2"/>
    <w:rsid w:val="001E7AED"/>
    <w:rsid w:val="001F3916"/>
    <w:rsid w:val="001F54C5"/>
    <w:rsid w:val="001F662C"/>
    <w:rsid w:val="001F7074"/>
    <w:rsid w:val="001F7CC9"/>
    <w:rsid w:val="00200490"/>
    <w:rsid w:val="00201F3A"/>
    <w:rsid w:val="00203F96"/>
    <w:rsid w:val="002069B2"/>
    <w:rsid w:val="00207FA3"/>
    <w:rsid w:val="00214DA8"/>
    <w:rsid w:val="00215423"/>
    <w:rsid w:val="002158FA"/>
    <w:rsid w:val="00216215"/>
    <w:rsid w:val="00220600"/>
    <w:rsid w:val="00220DD8"/>
    <w:rsid w:val="0022132E"/>
    <w:rsid w:val="002224DB"/>
    <w:rsid w:val="00223FCB"/>
    <w:rsid w:val="002252C3"/>
    <w:rsid w:val="00225C54"/>
    <w:rsid w:val="00230765"/>
    <w:rsid w:val="002319E4"/>
    <w:rsid w:val="00235632"/>
    <w:rsid w:val="00235872"/>
    <w:rsid w:val="00241559"/>
    <w:rsid w:val="002435B3"/>
    <w:rsid w:val="0024512C"/>
    <w:rsid w:val="002451ED"/>
    <w:rsid w:val="002458EB"/>
    <w:rsid w:val="002500C8"/>
    <w:rsid w:val="002537FB"/>
    <w:rsid w:val="00256E5F"/>
    <w:rsid w:val="00257543"/>
    <w:rsid w:val="002611E7"/>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4CD"/>
    <w:rsid w:val="00287838"/>
    <w:rsid w:val="002907B5"/>
    <w:rsid w:val="00292EB7"/>
    <w:rsid w:val="00296227"/>
    <w:rsid w:val="00296F44"/>
    <w:rsid w:val="0029777D"/>
    <w:rsid w:val="002A055E"/>
    <w:rsid w:val="002A0AB3"/>
    <w:rsid w:val="002A1D4E"/>
    <w:rsid w:val="002A2869"/>
    <w:rsid w:val="002A56D5"/>
    <w:rsid w:val="002A791C"/>
    <w:rsid w:val="002B24D6"/>
    <w:rsid w:val="002C41E6"/>
    <w:rsid w:val="002C579D"/>
    <w:rsid w:val="002D071A"/>
    <w:rsid w:val="002D34B2"/>
    <w:rsid w:val="002D4E84"/>
    <w:rsid w:val="002D5435"/>
    <w:rsid w:val="002D7637"/>
    <w:rsid w:val="002E17F2"/>
    <w:rsid w:val="002E7CAE"/>
    <w:rsid w:val="002F2771"/>
    <w:rsid w:val="002F37A9"/>
    <w:rsid w:val="002F5472"/>
    <w:rsid w:val="002F6288"/>
    <w:rsid w:val="00301CE6"/>
    <w:rsid w:val="0030256B"/>
    <w:rsid w:val="0030501F"/>
    <w:rsid w:val="00307BA1"/>
    <w:rsid w:val="00311702"/>
    <w:rsid w:val="00311E82"/>
    <w:rsid w:val="00313FD6"/>
    <w:rsid w:val="003143BD"/>
    <w:rsid w:val="003203ED"/>
    <w:rsid w:val="00322C9F"/>
    <w:rsid w:val="00324D23"/>
    <w:rsid w:val="00326737"/>
    <w:rsid w:val="00327997"/>
    <w:rsid w:val="00331751"/>
    <w:rsid w:val="00331B7B"/>
    <w:rsid w:val="00334579"/>
    <w:rsid w:val="00335858"/>
    <w:rsid w:val="00336BDA"/>
    <w:rsid w:val="00340332"/>
    <w:rsid w:val="00342BD7"/>
    <w:rsid w:val="00346DB5"/>
    <w:rsid w:val="0034775D"/>
    <w:rsid w:val="003477B1"/>
    <w:rsid w:val="003556A5"/>
    <w:rsid w:val="00356A14"/>
    <w:rsid w:val="00357380"/>
    <w:rsid w:val="003602D9"/>
    <w:rsid w:val="003604CE"/>
    <w:rsid w:val="00370E47"/>
    <w:rsid w:val="003742AC"/>
    <w:rsid w:val="003747B8"/>
    <w:rsid w:val="00374ADB"/>
    <w:rsid w:val="00377CE1"/>
    <w:rsid w:val="00385BF0"/>
    <w:rsid w:val="00391307"/>
    <w:rsid w:val="003939FF"/>
    <w:rsid w:val="003A0E41"/>
    <w:rsid w:val="003A2223"/>
    <w:rsid w:val="003A2A0F"/>
    <w:rsid w:val="003A40B6"/>
    <w:rsid w:val="003A45A1"/>
    <w:rsid w:val="003A5B0A"/>
    <w:rsid w:val="003A5DC4"/>
    <w:rsid w:val="003A6BAC"/>
    <w:rsid w:val="003A7EF3"/>
    <w:rsid w:val="003B159C"/>
    <w:rsid w:val="003B2FF2"/>
    <w:rsid w:val="003B369F"/>
    <w:rsid w:val="003B36A3"/>
    <w:rsid w:val="003B43EB"/>
    <w:rsid w:val="003B7416"/>
    <w:rsid w:val="003B7FE5"/>
    <w:rsid w:val="003C11C8"/>
    <w:rsid w:val="003C2702"/>
    <w:rsid w:val="003C394C"/>
    <w:rsid w:val="003C40CC"/>
    <w:rsid w:val="003C57C5"/>
    <w:rsid w:val="003C7806"/>
    <w:rsid w:val="003D109F"/>
    <w:rsid w:val="003D2478"/>
    <w:rsid w:val="003D2E5C"/>
    <w:rsid w:val="003D3C45"/>
    <w:rsid w:val="003D5B1F"/>
    <w:rsid w:val="003D725A"/>
    <w:rsid w:val="003E15FA"/>
    <w:rsid w:val="003E55E4"/>
    <w:rsid w:val="003E74E3"/>
    <w:rsid w:val="003F05C7"/>
    <w:rsid w:val="003F2CD4"/>
    <w:rsid w:val="003F4CCC"/>
    <w:rsid w:val="003F6BBE"/>
    <w:rsid w:val="004000E8"/>
    <w:rsid w:val="004022D9"/>
    <w:rsid w:val="00402E2B"/>
    <w:rsid w:val="004033B5"/>
    <w:rsid w:val="004050EA"/>
    <w:rsid w:val="0040512B"/>
    <w:rsid w:val="00405CA5"/>
    <w:rsid w:val="00407CD3"/>
    <w:rsid w:val="00410134"/>
    <w:rsid w:val="00410B72"/>
    <w:rsid w:val="00410F18"/>
    <w:rsid w:val="0041263E"/>
    <w:rsid w:val="00413AAC"/>
    <w:rsid w:val="00413E92"/>
    <w:rsid w:val="00416AF2"/>
    <w:rsid w:val="00421105"/>
    <w:rsid w:val="004242F4"/>
    <w:rsid w:val="00427248"/>
    <w:rsid w:val="004326D6"/>
    <w:rsid w:val="0043710F"/>
    <w:rsid w:val="004373F2"/>
    <w:rsid w:val="00437447"/>
    <w:rsid w:val="00441782"/>
    <w:rsid w:val="00441A92"/>
    <w:rsid w:val="00441D80"/>
    <w:rsid w:val="00444F56"/>
    <w:rsid w:val="00446488"/>
    <w:rsid w:val="004517AA"/>
    <w:rsid w:val="00452CAC"/>
    <w:rsid w:val="00457565"/>
    <w:rsid w:val="00457B71"/>
    <w:rsid w:val="0046462E"/>
    <w:rsid w:val="00465ABC"/>
    <w:rsid w:val="004669E2"/>
    <w:rsid w:val="00470C31"/>
    <w:rsid w:val="004734D0"/>
    <w:rsid w:val="0047556B"/>
    <w:rsid w:val="00477768"/>
    <w:rsid w:val="00492BC5"/>
    <w:rsid w:val="00493946"/>
    <w:rsid w:val="004964F1"/>
    <w:rsid w:val="004A16BC"/>
    <w:rsid w:val="004A2B94"/>
    <w:rsid w:val="004B45DE"/>
    <w:rsid w:val="004B7C0C"/>
    <w:rsid w:val="004C1735"/>
    <w:rsid w:val="004C3898"/>
    <w:rsid w:val="004D0103"/>
    <w:rsid w:val="004D36B1"/>
    <w:rsid w:val="004D7EBD"/>
    <w:rsid w:val="004E2680"/>
    <w:rsid w:val="004E28F9"/>
    <w:rsid w:val="004E462E"/>
    <w:rsid w:val="004E56DC"/>
    <w:rsid w:val="004E76F4"/>
    <w:rsid w:val="004F0B4E"/>
    <w:rsid w:val="004F0B6C"/>
    <w:rsid w:val="004F2078"/>
    <w:rsid w:val="004F4DA3"/>
    <w:rsid w:val="005006EB"/>
    <w:rsid w:val="00506557"/>
    <w:rsid w:val="0050677A"/>
    <w:rsid w:val="005108D8"/>
    <w:rsid w:val="005116F9"/>
    <w:rsid w:val="005153A7"/>
    <w:rsid w:val="00521182"/>
    <w:rsid w:val="005219CF"/>
    <w:rsid w:val="00521F13"/>
    <w:rsid w:val="00534B59"/>
    <w:rsid w:val="00536759"/>
    <w:rsid w:val="00537C62"/>
    <w:rsid w:val="00546970"/>
    <w:rsid w:val="00553456"/>
    <w:rsid w:val="00554192"/>
    <w:rsid w:val="00554E19"/>
    <w:rsid w:val="0056121F"/>
    <w:rsid w:val="0057061D"/>
    <w:rsid w:val="0057097E"/>
    <w:rsid w:val="00572505"/>
    <w:rsid w:val="00572E58"/>
    <w:rsid w:val="00575DA6"/>
    <w:rsid w:val="00576C95"/>
    <w:rsid w:val="00580CA5"/>
    <w:rsid w:val="005810BB"/>
    <w:rsid w:val="00582809"/>
    <w:rsid w:val="00583BC0"/>
    <w:rsid w:val="00583D71"/>
    <w:rsid w:val="0058798C"/>
    <w:rsid w:val="005900FA"/>
    <w:rsid w:val="0059071B"/>
    <w:rsid w:val="005935A4"/>
    <w:rsid w:val="005948C2"/>
    <w:rsid w:val="005951D4"/>
    <w:rsid w:val="00595DCA"/>
    <w:rsid w:val="0059779B"/>
    <w:rsid w:val="005A01EA"/>
    <w:rsid w:val="005A209A"/>
    <w:rsid w:val="005A662D"/>
    <w:rsid w:val="005B35D7"/>
    <w:rsid w:val="005B392A"/>
    <w:rsid w:val="005B3AA3"/>
    <w:rsid w:val="005B6F83"/>
    <w:rsid w:val="005C6DD7"/>
    <w:rsid w:val="005C74FB"/>
    <w:rsid w:val="005D1602"/>
    <w:rsid w:val="005E385F"/>
    <w:rsid w:val="005E5B81"/>
    <w:rsid w:val="005E6E94"/>
    <w:rsid w:val="005F2CB1"/>
    <w:rsid w:val="005F3025"/>
    <w:rsid w:val="005F618C"/>
    <w:rsid w:val="005F6648"/>
    <w:rsid w:val="005F70BD"/>
    <w:rsid w:val="0060283C"/>
    <w:rsid w:val="00602B34"/>
    <w:rsid w:val="00604F14"/>
    <w:rsid w:val="00611B83"/>
    <w:rsid w:val="00611D08"/>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40FA"/>
    <w:rsid w:val="0064624E"/>
    <w:rsid w:val="00650AB9"/>
    <w:rsid w:val="00651944"/>
    <w:rsid w:val="00655733"/>
    <w:rsid w:val="00655ACD"/>
    <w:rsid w:val="00656A92"/>
    <w:rsid w:val="00656DDE"/>
    <w:rsid w:val="0066011D"/>
    <w:rsid w:val="006607C0"/>
    <w:rsid w:val="006613A6"/>
    <w:rsid w:val="006627A2"/>
    <w:rsid w:val="006634E6"/>
    <w:rsid w:val="00663DAA"/>
    <w:rsid w:val="006655EE"/>
    <w:rsid w:val="00667EE7"/>
    <w:rsid w:val="00670922"/>
    <w:rsid w:val="00670BE1"/>
    <w:rsid w:val="0067218F"/>
    <w:rsid w:val="006741F2"/>
    <w:rsid w:val="00674CC3"/>
    <w:rsid w:val="00675C72"/>
    <w:rsid w:val="006771F9"/>
    <w:rsid w:val="006776D7"/>
    <w:rsid w:val="006800A1"/>
    <w:rsid w:val="006801D4"/>
    <w:rsid w:val="00681003"/>
    <w:rsid w:val="006817C9"/>
    <w:rsid w:val="00683ECE"/>
    <w:rsid w:val="006867CD"/>
    <w:rsid w:val="00687CFA"/>
    <w:rsid w:val="00695FC2"/>
    <w:rsid w:val="00696949"/>
    <w:rsid w:val="00697052"/>
    <w:rsid w:val="006A46FB"/>
    <w:rsid w:val="006A5E28"/>
    <w:rsid w:val="006A6585"/>
    <w:rsid w:val="006A697B"/>
    <w:rsid w:val="006A7AFF"/>
    <w:rsid w:val="006B1816"/>
    <w:rsid w:val="006B1CED"/>
    <w:rsid w:val="006B2099"/>
    <w:rsid w:val="006B50CF"/>
    <w:rsid w:val="006C03B8"/>
    <w:rsid w:val="006C490D"/>
    <w:rsid w:val="006C5EC9"/>
    <w:rsid w:val="006C6059"/>
    <w:rsid w:val="006C7522"/>
    <w:rsid w:val="006D3A0E"/>
    <w:rsid w:val="006D5300"/>
    <w:rsid w:val="006D6F08"/>
    <w:rsid w:val="006E062C"/>
    <w:rsid w:val="006E1514"/>
    <w:rsid w:val="006E2288"/>
    <w:rsid w:val="006E28B7"/>
    <w:rsid w:val="006E3310"/>
    <w:rsid w:val="006E4E39"/>
    <w:rsid w:val="006E565E"/>
    <w:rsid w:val="006E673D"/>
    <w:rsid w:val="006E6AA9"/>
    <w:rsid w:val="006E6F50"/>
    <w:rsid w:val="006E7D3B"/>
    <w:rsid w:val="006F06C3"/>
    <w:rsid w:val="006F1B70"/>
    <w:rsid w:val="006F341D"/>
    <w:rsid w:val="006F3CDE"/>
    <w:rsid w:val="006F58D4"/>
    <w:rsid w:val="0070346E"/>
    <w:rsid w:val="00704C41"/>
    <w:rsid w:val="00704EDB"/>
    <w:rsid w:val="00706101"/>
    <w:rsid w:val="00707072"/>
    <w:rsid w:val="00707D61"/>
    <w:rsid w:val="00712287"/>
    <w:rsid w:val="00712772"/>
    <w:rsid w:val="007148D3"/>
    <w:rsid w:val="00715B9A"/>
    <w:rsid w:val="00726DE5"/>
    <w:rsid w:val="00726EA6"/>
    <w:rsid w:val="00727208"/>
    <w:rsid w:val="00727680"/>
    <w:rsid w:val="007311E2"/>
    <w:rsid w:val="007348B1"/>
    <w:rsid w:val="007362A6"/>
    <w:rsid w:val="00736D7D"/>
    <w:rsid w:val="00737FB0"/>
    <w:rsid w:val="00740E58"/>
    <w:rsid w:val="007445A0"/>
    <w:rsid w:val="0074524B"/>
    <w:rsid w:val="00747D8B"/>
    <w:rsid w:val="00751228"/>
    <w:rsid w:val="007571E1"/>
    <w:rsid w:val="007604B2"/>
    <w:rsid w:val="00760A14"/>
    <w:rsid w:val="0076236B"/>
    <w:rsid w:val="00765281"/>
    <w:rsid w:val="00766BAD"/>
    <w:rsid w:val="007679B0"/>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3739"/>
    <w:rsid w:val="007A43A6"/>
    <w:rsid w:val="007A58A6"/>
    <w:rsid w:val="007A5B38"/>
    <w:rsid w:val="007A6626"/>
    <w:rsid w:val="007B3D2D"/>
    <w:rsid w:val="007B50AE"/>
    <w:rsid w:val="007B51DF"/>
    <w:rsid w:val="007B697A"/>
    <w:rsid w:val="007B7374"/>
    <w:rsid w:val="007C05DD"/>
    <w:rsid w:val="007C3D18"/>
    <w:rsid w:val="007C60BF"/>
    <w:rsid w:val="007C6A07"/>
    <w:rsid w:val="007C75A1"/>
    <w:rsid w:val="007C77A5"/>
    <w:rsid w:val="007D04E5"/>
    <w:rsid w:val="007D3E7E"/>
    <w:rsid w:val="007D5901"/>
    <w:rsid w:val="007D7526"/>
    <w:rsid w:val="007E4610"/>
    <w:rsid w:val="007E4715"/>
    <w:rsid w:val="007E505B"/>
    <w:rsid w:val="007E5B0A"/>
    <w:rsid w:val="007E7091"/>
    <w:rsid w:val="007F71B9"/>
    <w:rsid w:val="007F75D5"/>
    <w:rsid w:val="008003D8"/>
    <w:rsid w:val="00803FAE"/>
    <w:rsid w:val="0080605F"/>
    <w:rsid w:val="00806EE7"/>
    <w:rsid w:val="00807786"/>
    <w:rsid w:val="00811FCB"/>
    <w:rsid w:val="008158D6"/>
    <w:rsid w:val="00817196"/>
    <w:rsid w:val="008235DB"/>
    <w:rsid w:val="00823B65"/>
    <w:rsid w:val="00824AB4"/>
    <w:rsid w:val="00825C42"/>
    <w:rsid w:val="00825D25"/>
    <w:rsid w:val="00827D6F"/>
    <w:rsid w:val="00831EDF"/>
    <w:rsid w:val="008376AC"/>
    <w:rsid w:val="008444E8"/>
    <w:rsid w:val="00844E80"/>
    <w:rsid w:val="00846FE7"/>
    <w:rsid w:val="00854AEB"/>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740"/>
    <w:rsid w:val="008C6AE8"/>
    <w:rsid w:val="008C7573"/>
    <w:rsid w:val="008D34F1"/>
    <w:rsid w:val="008D39D8"/>
    <w:rsid w:val="008D6D1A"/>
    <w:rsid w:val="008E065E"/>
    <w:rsid w:val="008E0927"/>
    <w:rsid w:val="008E1909"/>
    <w:rsid w:val="008F1EAB"/>
    <w:rsid w:val="008F33DC"/>
    <w:rsid w:val="008F477F"/>
    <w:rsid w:val="00900512"/>
    <w:rsid w:val="00902350"/>
    <w:rsid w:val="0090336B"/>
    <w:rsid w:val="009053AA"/>
    <w:rsid w:val="00906939"/>
    <w:rsid w:val="00906B58"/>
    <w:rsid w:val="00910B7D"/>
    <w:rsid w:val="00911DFB"/>
    <w:rsid w:val="009139D9"/>
    <w:rsid w:val="00914AD8"/>
    <w:rsid w:val="00916079"/>
    <w:rsid w:val="00917CE9"/>
    <w:rsid w:val="00920BF2"/>
    <w:rsid w:val="00922010"/>
    <w:rsid w:val="00924542"/>
    <w:rsid w:val="00926205"/>
    <w:rsid w:val="00931BD9"/>
    <w:rsid w:val="00932BC8"/>
    <w:rsid w:val="00935739"/>
    <w:rsid w:val="009368F3"/>
    <w:rsid w:val="00941636"/>
    <w:rsid w:val="00943742"/>
    <w:rsid w:val="00945C05"/>
    <w:rsid w:val="00945DBB"/>
    <w:rsid w:val="00946945"/>
    <w:rsid w:val="00947713"/>
    <w:rsid w:val="00950DE7"/>
    <w:rsid w:val="009513B4"/>
    <w:rsid w:val="00952A24"/>
    <w:rsid w:val="00953920"/>
    <w:rsid w:val="00953D47"/>
    <w:rsid w:val="0095681E"/>
    <w:rsid w:val="009572D4"/>
    <w:rsid w:val="00961921"/>
    <w:rsid w:val="0096430A"/>
    <w:rsid w:val="0096554B"/>
    <w:rsid w:val="0096584A"/>
    <w:rsid w:val="00971F08"/>
    <w:rsid w:val="00973D1B"/>
    <w:rsid w:val="0097493A"/>
    <w:rsid w:val="0097603D"/>
    <w:rsid w:val="00976949"/>
    <w:rsid w:val="00980477"/>
    <w:rsid w:val="00985253"/>
    <w:rsid w:val="009853B3"/>
    <w:rsid w:val="00985BFD"/>
    <w:rsid w:val="0098691B"/>
    <w:rsid w:val="00990630"/>
    <w:rsid w:val="00991761"/>
    <w:rsid w:val="00993BC3"/>
    <w:rsid w:val="00994DCA"/>
    <w:rsid w:val="009960EC"/>
    <w:rsid w:val="009970DD"/>
    <w:rsid w:val="00997CB2"/>
    <w:rsid w:val="009A0FBA"/>
    <w:rsid w:val="009A1601"/>
    <w:rsid w:val="009A18A7"/>
    <w:rsid w:val="009A462D"/>
    <w:rsid w:val="009A49B2"/>
    <w:rsid w:val="009A5CBA"/>
    <w:rsid w:val="009B1F30"/>
    <w:rsid w:val="009B3AC2"/>
    <w:rsid w:val="009B4DF4"/>
    <w:rsid w:val="009B564E"/>
    <w:rsid w:val="009B7E87"/>
    <w:rsid w:val="009C403E"/>
    <w:rsid w:val="009C5098"/>
    <w:rsid w:val="009C6832"/>
    <w:rsid w:val="009D0F76"/>
    <w:rsid w:val="009D4FF0"/>
    <w:rsid w:val="009D703C"/>
    <w:rsid w:val="009D718F"/>
    <w:rsid w:val="009E068F"/>
    <w:rsid w:val="009E14E0"/>
    <w:rsid w:val="009E3595"/>
    <w:rsid w:val="009E35DB"/>
    <w:rsid w:val="009E47A3"/>
    <w:rsid w:val="009F08F3"/>
    <w:rsid w:val="009F344F"/>
    <w:rsid w:val="00A0215A"/>
    <w:rsid w:val="00A031D8"/>
    <w:rsid w:val="00A048A8"/>
    <w:rsid w:val="00A04F49"/>
    <w:rsid w:val="00A12588"/>
    <w:rsid w:val="00A13E54"/>
    <w:rsid w:val="00A15745"/>
    <w:rsid w:val="00A17F63"/>
    <w:rsid w:val="00A2193B"/>
    <w:rsid w:val="00A22EE2"/>
    <w:rsid w:val="00A231A2"/>
    <w:rsid w:val="00A2351A"/>
    <w:rsid w:val="00A24828"/>
    <w:rsid w:val="00A264A9"/>
    <w:rsid w:val="00A27785"/>
    <w:rsid w:val="00A30187"/>
    <w:rsid w:val="00A3448A"/>
    <w:rsid w:val="00A358DB"/>
    <w:rsid w:val="00A36297"/>
    <w:rsid w:val="00A41E2B"/>
    <w:rsid w:val="00A45B74"/>
    <w:rsid w:val="00A52E1D"/>
    <w:rsid w:val="00A54308"/>
    <w:rsid w:val="00A5472C"/>
    <w:rsid w:val="00A56037"/>
    <w:rsid w:val="00A61499"/>
    <w:rsid w:val="00A62A77"/>
    <w:rsid w:val="00A63483"/>
    <w:rsid w:val="00A657D7"/>
    <w:rsid w:val="00A660AC"/>
    <w:rsid w:val="00A67545"/>
    <w:rsid w:val="00A67E6C"/>
    <w:rsid w:val="00A71B99"/>
    <w:rsid w:val="00A71EC7"/>
    <w:rsid w:val="00A739D0"/>
    <w:rsid w:val="00A761D4"/>
    <w:rsid w:val="00A77EC4"/>
    <w:rsid w:val="00A85C6C"/>
    <w:rsid w:val="00A85EF6"/>
    <w:rsid w:val="00A91C25"/>
    <w:rsid w:val="00A92879"/>
    <w:rsid w:val="00A937C2"/>
    <w:rsid w:val="00A9442A"/>
    <w:rsid w:val="00AA016F"/>
    <w:rsid w:val="00AA1ED6"/>
    <w:rsid w:val="00AA51D6"/>
    <w:rsid w:val="00AA67BC"/>
    <w:rsid w:val="00AB0BC8"/>
    <w:rsid w:val="00AB11CA"/>
    <w:rsid w:val="00AB14D9"/>
    <w:rsid w:val="00AB4AB8"/>
    <w:rsid w:val="00AB5A84"/>
    <w:rsid w:val="00AB655E"/>
    <w:rsid w:val="00AC007F"/>
    <w:rsid w:val="00AC2ECD"/>
    <w:rsid w:val="00AC3119"/>
    <w:rsid w:val="00AC33D9"/>
    <w:rsid w:val="00AC49FB"/>
    <w:rsid w:val="00AC5A10"/>
    <w:rsid w:val="00AC7789"/>
    <w:rsid w:val="00AD0AA3"/>
    <w:rsid w:val="00AD3F94"/>
    <w:rsid w:val="00AD4A5A"/>
    <w:rsid w:val="00AE27AC"/>
    <w:rsid w:val="00AE2FEB"/>
    <w:rsid w:val="00AE40E0"/>
    <w:rsid w:val="00AE4DBA"/>
    <w:rsid w:val="00AE4F07"/>
    <w:rsid w:val="00AE64CF"/>
    <w:rsid w:val="00AF0198"/>
    <w:rsid w:val="00AF1C5D"/>
    <w:rsid w:val="00AF42D7"/>
    <w:rsid w:val="00B006FE"/>
    <w:rsid w:val="00B007CB"/>
    <w:rsid w:val="00B02AA9"/>
    <w:rsid w:val="00B02FA3"/>
    <w:rsid w:val="00B03374"/>
    <w:rsid w:val="00B05084"/>
    <w:rsid w:val="00B157F9"/>
    <w:rsid w:val="00B20256"/>
    <w:rsid w:val="00B20D09"/>
    <w:rsid w:val="00B2763F"/>
    <w:rsid w:val="00B2768C"/>
    <w:rsid w:val="00B27AAC"/>
    <w:rsid w:val="00B30929"/>
    <w:rsid w:val="00B372AA"/>
    <w:rsid w:val="00B40445"/>
    <w:rsid w:val="00B41888"/>
    <w:rsid w:val="00B45A52"/>
    <w:rsid w:val="00B46175"/>
    <w:rsid w:val="00B664C7"/>
    <w:rsid w:val="00B739F6"/>
    <w:rsid w:val="00B75A51"/>
    <w:rsid w:val="00B81A6C"/>
    <w:rsid w:val="00B840A2"/>
    <w:rsid w:val="00B85DE5"/>
    <w:rsid w:val="00B90F73"/>
    <w:rsid w:val="00B93B59"/>
    <w:rsid w:val="00B9406A"/>
    <w:rsid w:val="00B94E9A"/>
    <w:rsid w:val="00B9699A"/>
    <w:rsid w:val="00BA2280"/>
    <w:rsid w:val="00BA2A08"/>
    <w:rsid w:val="00BA56D2"/>
    <w:rsid w:val="00BA76E0"/>
    <w:rsid w:val="00BB2A25"/>
    <w:rsid w:val="00BB51E9"/>
    <w:rsid w:val="00BB7EC8"/>
    <w:rsid w:val="00BC0CB2"/>
    <w:rsid w:val="00BC0FDC"/>
    <w:rsid w:val="00BC3053"/>
    <w:rsid w:val="00BC4D2E"/>
    <w:rsid w:val="00BD48AC"/>
    <w:rsid w:val="00BD5F1A"/>
    <w:rsid w:val="00BE1234"/>
    <w:rsid w:val="00BE2FA6"/>
    <w:rsid w:val="00BE333F"/>
    <w:rsid w:val="00BE7406"/>
    <w:rsid w:val="00BE7603"/>
    <w:rsid w:val="00BF3279"/>
    <w:rsid w:val="00BF5331"/>
    <w:rsid w:val="00BF74C7"/>
    <w:rsid w:val="00BF7642"/>
    <w:rsid w:val="00C015F1"/>
    <w:rsid w:val="00C01F33"/>
    <w:rsid w:val="00C02A4C"/>
    <w:rsid w:val="00C02CC6"/>
    <w:rsid w:val="00C040F7"/>
    <w:rsid w:val="00C044AB"/>
    <w:rsid w:val="00C0468D"/>
    <w:rsid w:val="00C05706"/>
    <w:rsid w:val="00C07377"/>
    <w:rsid w:val="00C10478"/>
    <w:rsid w:val="00C12107"/>
    <w:rsid w:val="00C14D4B"/>
    <w:rsid w:val="00C154BB"/>
    <w:rsid w:val="00C201C5"/>
    <w:rsid w:val="00C279B5"/>
    <w:rsid w:val="00C27C45"/>
    <w:rsid w:val="00C3719D"/>
    <w:rsid w:val="00C54995"/>
    <w:rsid w:val="00C54D41"/>
    <w:rsid w:val="00C60783"/>
    <w:rsid w:val="00C64672"/>
    <w:rsid w:val="00C70697"/>
    <w:rsid w:val="00C72EF4"/>
    <w:rsid w:val="00C75133"/>
    <w:rsid w:val="00C75D2F"/>
    <w:rsid w:val="00C767BE"/>
    <w:rsid w:val="00C76E3C"/>
    <w:rsid w:val="00C81568"/>
    <w:rsid w:val="00C85B79"/>
    <w:rsid w:val="00C87563"/>
    <w:rsid w:val="00C9027A"/>
    <w:rsid w:val="00C9068E"/>
    <w:rsid w:val="00C93C4B"/>
    <w:rsid w:val="00C93E71"/>
    <w:rsid w:val="00C944AB"/>
    <w:rsid w:val="00C95B40"/>
    <w:rsid w:val="00CA1068"/>
    <w:rsid w:val="00CA1ED8"/>
    <w:rsid w:val="00CA2417"/>
    <w:rsid w:val="00CB1F63"/>
    <w:rsid w:val="00CB60EB"/>
    <w:rsid w:val="00CB7170"/>
    <w:rsid w:val="00CC040E"/>
    <w:rsid w:val="00CC111F"/>
    <w:rsid w:val="00CC2011"/>
    <w:rsid w:val="00CC3EA0"/>
    <w:rsid w:val="00CC7B45"/>
    <w:rsid w:val="00CD0D9B"/>
    <w:rsid w:val="00CD1188"/>
    <w:rsid w:val="00CD2ED1"/>
    <w:rsid w:val="00CD337B"/>
    <w:rsid w:val="00CE0424"/>
    <w:rsid w:val="00CE17DE"/>
    <w:rsid w:val="00CE7561"/>
    <w:rsid w:val="00CF1354"/>
    <w:rsid w:val="00CF3810"/>
    <w:rsid w:val="00CF3B1F"/>
    <w:rsid w:val="00CF3BF6"/>
    <w:rsid w:val="00CF4DFE"/>
    <w:rsid w:val="00CF625B"/>
    <w:rsid w:val="00CF687E"/>
    <w:rsid w:val="00D0349B"/>
    <w:rsid w:val="00D06AC5"/>
    <w:rsid w:val="00D10249"/>
    <w:rsid w:val="00D115C3"/>
    <w:rsid w:val="00D11897"/>
    <w:rsid w:val="00D13135"/>
    <w:rsid w:val="00D13E4E"/>
    <w:rsid w:val="00D15389"/>
    <w:rsid w:val="00D22393"/>
    <w:rsid w:val="00D239A7"/>
    <w:rsid w:val="00D23F47"/>
    <w:rsid w:val="00D24D6D"/>
    <w:rsid w:val="00D36E71"/>
    <w:rsid w:val="00D37D87"/>
    <w:rsid w:val="00D40B33"/>
    <w:rsid w:val="00D4318F"/>
    <w:rsid w:val="00D438BF"/>
    <w:rsid w:val="00D440F8"/>
    <w:rsid w:val="00D546FF"/>
    <w:rsid w:val="00D55AD5"/>
    <w:rsid w:val="00D576CA"/>
    <w:rsid w:val="00D61AF5"/>
    <w:rsid w:val="00D652B5"/>
    <w:rsid w:val="00D66155"/>
    <w:rsid w:val="00D7033B"/>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639"/>
    <w:rsid w:val="00DC2D36"/>
    <w:rsid w:val="00DC51DE"/>
    <w:rsid w:val="00DC53EF"/>
    <w:rsid w:val="00DE5608"/>
    <w:rsid w:val="00DE58D0"/>
    <w:rsid w:val="00DE654F"/>
    <w:rsid w:val="00DE7015"/>
    <w:rsid w:val="00DF0B6E"/>
    <w:rsid w:val="00DF15E0"/>
    <w:rsid w:val="00DF3563"/>
    <w:rsid w:val="00DF37A0"/>
    <w:rsid w:val="00DF723A"/>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2FC7"/>
    <w:rsid w:val="00E446F1"/>
    <w:rsid w:val="00E454BF"/>
    <w:rsid w:val="00E46886"/>
    <w:rsid w:val="00E47AEF"/>
    <w:rsid w:val="00E52642"/>
    <w:rsid w:val="00E53B75"/>
    <w:rsid w:val="00E54E3B"/>
    <w:rsid w:val="00E5689D"/>
    <w:rsid w:val="00E57565"/>
    <w:rsid w:val="00E63009"/>
    <w:rsid w:val="00E63838"/>
    <w:rsid w:val="00E64434"/>
    <w:rsid w:val="00E64B80"/>
    <w:rsid w:val="00E6519E"/>
    <w:rsid w:val="00E67C51"/>
    <w:rsid w:val="00E72EFC"/>
    <w:rsid w:val="00E758EC"/>
    <w:rsid w:val="00E8234C"/>
    <w:rsid w:val="00E83AA9"/>
    <w:rsid w:val="00E85928"/>
    <w:rsid w:val="00E87822"/>
    <w:rsid w:val="00E90395"/>
    <w:rsid w:val="00E90E49"/>
    <w:rsid w:val="00E917F9"/>
    <w:rsid w:val="00E9291C"/>
    <w:rsid w:val="00E93FFE"/>
    <w:rsid w:val="00E94F8A"/>
    <w:rsid w:val="00E960F2"/>
    <w:rsid w:val="00EA1641"/>
    <w:rsid w:val="00EA4B16"/>
    <w:rsid w:val="00EA7A41"/>
    <w:rsid w:val="00EB077B"/>
    <w:rsid w:val="00EB4EA2"/>
    <w:rsid w:val="00EC1822"/>
    <w:rsid w:val="00EC27C6"/>
    <w:rsid w:val="00EC4207"/>
    <w:rsid w:val="00EC5653"/>
    <w:rsid w:val="00EC71CE"/>
    <w:rsid w:val="00EC77A7"/>
    <w:rsid w:val="00ED1006"/>
    <w:rsid w:val="00ED212C"/>
    <w:rsid w:val="00EE59C8"/>
    <w:rsid w:val="00EE7E44"/>
    <w:rsid w:val="00EF18FE"/>
    <w:rsid w:val="00EF5787"/>
    <w:rsid w:val="00EF60D0"/>
    <w:rsid w:val="00F0528D"/>
    <w:rsid w:val="00F06C67"/>
    <w:rsid w:val="00F06DFD"/>
    <w:rsid w:val="00F071D1"/>
    <w:rsid w:val="00F07533"/>
    <w:rsid w:val="00F10629"/>
    <w:rsid w:val="00F15FA5"/>
    <w:rsid w:val="00F209B7"/>
    <w:rsid w:val="00F2376F"/>
    <w:rsid w:val="00F243D8"/>
    <w:rsid w:val="00F2515F"/>
    <w:rsid w:val="00F30828"/>
    <w:rsid w:val="00F313D6"/>
    <w:rsid w:val="00F40F0C"/>
    <w:rsid w:val="00F4766C"/>
    <w:rsid w:val="00F5060E"/>
    <w:rsid w:val="00F507D1"/>
    <w:rsid w:val="00F519CE"/>
    <w:rsid w:val="00F51ADA"/>
    <w:rsid w:val="00F607C5"/>
    <w:rsid w:val="00F60DEA"/>
    <w:rsid w:val="00F61DCB"/>
    <w:rsid w:val="00F6302A"/>
    <w:rsid w:val="00F64C2B"/>
    <w:rsid w:val="00F651BE"/>
    <w:rsid w:val="00F67F53"/>
    <w:rsid w:val="00F703BE"/>
    <w:rsid w:val="00F71F69"/>
    <w:rsid w:val="00F721FD"/>
    <w:rsid w:val="00F72B72"/>
    <w:rsid w:val="00F74BB9"/>
    <w:rsid w:val="00F75582"/>
    <w:rsid w:val="00F76EFA"/>
    <w:rsid w:val="00F804BE"/>
    <w:rsid w:val="00F812FD"/>
    <w:rsid w:val="00F817CE"/>
    <w:rsid w:val="00F8456C"/>
    <w:rsid w:val="00F859D8"/>
    <w:rsid w:val="00F868F5"/>
    <w:rsid w:val="00F9056A"/>
    <w:rsid w:val="00F90F8D"/>
    <w:rsid w:val="00F92782"/>
    <w:rsid w:val="00F93AA9"/>
    <w:rsid w:val="00F96985"/>
    <w:rsid w:val="00F97108"/>
    <w:rsid w:val="00F97838"/>
    <w:rsid w:val="00FA2BB3"/>
    <w:rsid w:val="00FB4417"/>
    <w:rsid w:val="00FB4C80"/>
    <w:rsid w:val="00FB6A6A"/>
    <w:rsid w:val="00FC7429"/>
    <w:rsid w:val="00FD03CA"/>
    <w:rsid w:val="00FD07F6"/>
    <w:rsid w:val="00FD1EC8"/>
    <w:rsid w:val="00FD47ED"/>
    <w:rsid w:val="00FD4DD6"/>
    <w:rsid w:val="00FD74DB"/>
    <w:rsid w:val="00FD7660"/>
    <w:rsid w:val="00FE0655"/>
    <w:rsid w:val="00FE07F2"/>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17DE"/>
    <w:pPr>
      <w:overflowPunct w:val="0"/>
      <w:autoSpaceDE w:val="0"/>
      <w:autoSpaceDN w:val="0"/>
      <w:adjustRightInd w:val="0"/>
      <w:spacing w:after="120"/>
      <w:jc w:val="both"/>
      <w:textAlignment w:val="baseline"/>
    </w:pPr>
    <w:rPr>
      <w:rFonts w:ascii="Times New Roman" w:eastAsia="Times New Roman" w:hAnsi="Times New Roman"/>
      <w:lang w:val="en-GB" w:eastAsia="zh-CN"/>
    </w:rPr>
  </w:style>
  <w:style w:type="paragraph" w:styleId="Heading1">
    <w:name w:val="heading 1"/>
    <w:next w:val="Normal"/>
    <w:link w:val="Heading1Char"/>
    <w:qFormat/>
    <w:rsid w:val="00CE17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2"/>
      <w:szCs w:val="36"/>
      <w:lang w:val="en-GB" w:eastAsia="zh-CN"/>
    </w:rPr>
  </w:style>
  <w:style w:type="paragraph" w:styleId="Heading2">
    <w:name w:val="heading 2"/>
    <w:basedOn w:val="Heading1"/>
    <w:next w:val="Normal"/>
    <w:qFormat/>
    <w:rsid w:val="00CE17DE"/>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CE17DE"/>
    <w:pPr>
      <w:numPr>
        <w:ilvl w:val="2"/>
      </w:numPr>
      <w:spacing w:before="120"/>
      <w:outlineLvl w:val="2"/>
    </w:pPr>
    <w:rPr>
      <w:sz w:val="24"/>
      <w:szCs w:val="28"/>
    </w:rPr>
  </w:style>
  <w:style w:type="paragraph" w:styleId="Heading4">
    <w:name w:val="heading 4"/>
    <w:basedOn w:val="Heading3"/>
    <w:next w:val="Normal"/>
    <w:qFormat/>
    <w:rsid w:val="00CE17DE"/>
    <w:pPr>
      <w:numPr>
        <w:ilvl w:val="3"/>
      </w:numPr>
      <w:outlineLvl w:val="3"/>
    </w:pPr>
    <w:rPr>
      <w:szCs w:val="24"/>
    </w:rPr>
  </w:style>
  <w:style w:type="paragraph" w:styleId="Heading5">
    <w:name w:val="heading 5"/>
    <w:basedOn w:val="Heading4"/>
    <w:next w:val="Normal"/>
    <w:qFormat/>
    <w:rsid w:val="00CE17DE"/>
    <w:pPr>
      <w:numPr>
        <w:ilvl w:val="4"/>
      </w:numPr>
      <w:outlineLvl w:val="4"/>
    </w:pPr>
    <w:rPr>
      <w:sz w:val="22"/>
      <w:szCs w:val="22"/>
    </w:rPr>
  </w:style>
  <w:style w:type="paragraph" w:styleId="Heading6">
    <w:name w:val="heading 6"/>
    <w:basedOn w:val="Normal"/>
    <w:next w:val="Normal"/>
    <w:qFormat/>
    <w:rsid w:val="00CE17DE"/>
    <w:pPr>
      <w:keepNext/>
      <w:keepLines/>
      <w:numPr>
        <w:ilvl w:val="5"/>
        <w:numId w:val="1"/>
      </w:numPr>
      <w:spacing w:before="120"/>
      <w:outlineLvl w:val="5"/>
    </w:pPr>
    <w:rPr>
      <w:rFonts w:cs="Arial"/>
    </w:rPr>
  </w:style>
  <w:style w:type="paragraph" w:styleId="Heading7">
    <w:name w:val="heading 7"/>
    <w:basedOn w:val="Normal"/>
    <w:next w:val="Normal"/>
    <w:qFormat/>
    <w:rsid w:val="00CE17DE"/>
    <w:pPr>
      <w:keepNext/>
      <w:keepLines/>
      <w:numPr>
        <w:ilvl w:val="6"/>
        <w:numId w:val="1"/>
      </w:numPr>
      <w:spacing w:before="120"/>
      <w:outlineLvl w:val="6"/>
    </w:pPr>
    <w:rPr>
      <w:rFonts w:cs="Arial"/>
    </w:rPr>
  </w:style>
  <w:style w:type="paragraph" w:styleId="Heading8">
    <w:name w:val="heading 8"/>
    <w:basedOn w:val="Heading7"/>
    <w:next w:val="Normal"/>
    <w:qFormat/>
    <w:rsid w:val="00CE17DE"/>
    <w:pPr>
      <w:numPr>
        <w:ilvl w:val="7"/>
      </w:numPr>
      <w:outlineLvl w:val="7"/>
    </w:pPr>
  </w:style>
  <w:style w:type="paragraph" w:styleId="Heading9">
    <w:name w:val="heading 9"/>
    <w:basedOn w:val="Heading8"/>
    <w:next w:val="Normal"/>
    <w:qFormat/>
    <w:rsid w:val="00CE17DE"/>
    <w:pPr>
      <w:numPr>
        <w:ilvl w:val="8"/>
      </w:numPr>
      <w:outlineLvl w:val="8"/>
    </w:pPr>
  </w:style>
  <w:style w:type="character" w:default="1" w:styleId="DefaultParagraphFont">
    <w:name w:val="Default Paragraph Font"/>
    <w:uiPriority w:val="1"/>
    <w:semiHidden/>
    <w:unhideWhenUsed/>
    <w:rsid w:val="00CE17D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E17DE"/>
  </w:style>
  <w:style w:type="paragraph" w:styleId="TOC8">
    <w:name w:val="toc 8"/>
    <w:basedOn w:val="TOC1"/>
    <w:semiHidden/>
    <w:rsid w:val="00CE17DE"/>
    <w:pPr>
      <w:spacing w:before="180"/>
      <w:ind w:left="2693" w:hanging="2693"/>
    </w:pPr>
    <w:rPr>
      <w:b w:val="0"/>
      <w:bCs/>
    </w:rPr>
  </w:style>
  <w:style w:type="paragraph" w:styleId="TOC1">
    <w:name w:val="toc 1"/>
    <w:aliases w:val="Observation TOC2"/>
    <w:uiPriority w:val="39"/>
    <w:rsid w:val="00CE17DE"/>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eastAsia="Times New Roman" w:hAnsi="Times New Roman"/>
      <w:b/>
      <w:noProof/>
      <w:szCs w:val="22"/>
      <w:lang w:eastAsia="zh-CN"/>
    </w:rPr>
  </w:style>
  <w:style w:type="paragraph" w:customStyle="1" w:styleId="Figure">
    <w:name w:val="Figure"/>
    <w:basedOn w:val="Normal"/>
    <w:next w:val="Caption"/>
    <w:qFormat/>
    <w:rsid w:val="00CE17DE"/>
    <w:pPr>
      <w:keepNext/>
      <w:keepLines/>
      <w:spacing w:before="180"/>
      <w:jc w:val="center"/>
    </w:pPr>
  </w:style>
  <w:style w:type="paragraph" w:styleId="Caption">
    <w:name w:val="caption"/>
    <w:basedOn w:val="Normal"/>
    <w:next w:val="Normal"/>
    <w:qFormat/>
    <w:rsid w:val="00CE17DE"/>
    <w:pPr>
      <w:spacing w:after="240"/>
      <w:jc w:val="center"/>
    </w:pPr>
    <w:rPr>
      <w:b/>
      <w:bCs/>
    </w:rPr>
  </w:style>
  <w:style w:type="paragraph" w:styleId="TOC5">
    <w:name w:val="toc 5"/>
    <w:aliases w:val="Observation TOC"/>
    <w:basedOn w:val="TOC4"/>
    <w:semiHidden/>
    <w:rsid w:val="00CE17DE"/>
    <w:pPr>
      <w:tabs>
        <w:tab w:val="right" w:pos="1701"/>
      </w:tabs>
      <w:ind w:left="1701" w:hanging="1701"/>
    </w:pPr>
  </w:style>
  <w:style w:type="paragraph" w:styleId="TOC4">
    <w:name w:val="toc 4"/>
    <w:basedOn w:val="TOC3"/>
    <w:semiHidden/>
    <w:rsid w:val="00CE17DE"/>
    <w:pPr>
      <w:ind w:left="1418" w:hanging="1418"/>
    </w:pPr>
  </w:style>
  <w:style w:type="paragraph" w:styleId="TOC3">
    <w:name w:val="toc 3"/>
    <w:basedOn w:val="TOC2"/>
    <w:semiHidden/>
    <w:rsid w:val="00CE17DE"/>
    <w:pPr>
      <w:ind w:left="1134" w:hanging="1134"/>
    </w:pPr>
  </w:style>
  <w:style w:type="paragraph" w:styleId="TOC2">
    <w:name w:val="toc 2"/>
    <w:basedOn w:val="TOC1"/>
    <w:semiHidden/>
    <w:rsid w:val="00CE17DE"/>
    <w:pPr>
      <w:keepNext w:val="0"/>
      <w:spacing w:before="0"/>
      <w:ind w:left="851" w:hanging="851"/>
    </w:pPr>
    <w:rPr>
      <w:szCs w:val="20"/>
    </w:rPr>
  </w:style>
  <w:style w:type="paragraph" w:styleId="Index2">
    <w:name w:val="index 2"/>
    <w:basedOn w:val="Index1"/>
    <w:semiHidden/>
    <w:rsid w:val="00CE17DE"/>
    <w:pPr>
      <w:ind w:left="284"/>
    </w:pPr>
  </w:style>
  <w:style w:type="paragraph" w:styleId="Index1">
    <w:name w:val="index 1"/>
    <w:basedOn w:val="Normal"/>
    <w:semiHidden/>
    <w:rsid w:val="00CE17DE"/>
    <w:pPr>
      <w:keepLines/>
      <w:spacing w:after="0"/>
    </w:pPr>
  </w:style>
  <w:style w:type="paragraph" w:styleId="DocumentMap">
    <w:name w:val="Document Map"/>
    <w:basedOn w:val="Normal"/>
    <w:semiHidden/>
    <w:rsid w:val="00CE17DE"/>
    <w:pPr>
      <w:shd w:val="clear" w:color="auto" w:fill="000080"/>
    </w:pPr>
    <w:rPr>
      <w:rFonts w:ascii="Tahoma" w:hAnsi="Tahoma" w:cs="Tahoma"/>
    </w:rPr>
  </w:style>
  <w:style w:type="paragraph" w:styleId="ListNumber2">
    <w:name w:val="List Number 2"/>
    <w:basedOn w:val="ListNumber"/>
    <w:rsid w:val="00CE17DE"/>
    <w:pPr>
      <w:ind w:left="851"/>
    </w:pPr>
  </w:style>
  <w:style w:type="paragraph" w:styleId="ListNumber">
    <w:name w:val="List Number"/>
    <w:basedOn w:val="List"/>
    <w:rsid w:val="00CE17DE"/>
  </w:style>
  <w:style w:type="paragraph" w:styleId="List">
    <w:name w:val="List"/>
    <w:basedOn w:val="Normal"/>
    <w:rsid w:val="00CE17DE"/>
    <w:pPr>
      <w:ind w:left="568" w:hanging="284"/>
    </w:pPr>
  </w:style>
  <w:style w:type="paragraph" w:styleId="Header">
    <w:name w:val="header"/>
    <w:rsid w:val="00CE17DE"/>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FootnoteReference">
    <w:name w:val="footnote reference"/>
    <w:semiHidden/>
    <w:rsid w:val="00CE17DE"/>
    <w:rPr>
      <w:b/>
      <w:bCs/>
      <w:position w:val="6"/>
      <w:sz w:val="16"/>
      <w:szCs w:val="16"/>
    </w:rPr>
  </w:style>
  <w:style w:type="paragraph" w:styleId="FootnoteText">
    <w:name w:val="footnote text"/>
    <w:basedOn w:val="Normal"/>
    <w:semiHidden/>
    <w:rsid w:val="00CE17DE"/>
    <w:pPr>
      <w:keepLines/>
      <w:spacing w:after="0"/>
      <w:ind w:left="454" w:hanging="454"/>
    </w:pPr>
    <w:rPr>
      <w:sz w:val="16"/>
      <w:szCs w:val="16"/>
    </w:rPr>
  </w:style>
  <w:style w:type="paragraph" w:customStyle="1" w:styleId="3GPPHeader">
    <w:name w:val="3GPP_Header"/>
    <w:basedOn w:val="Normal"/>
    <w:qFormat/>
    <w:rsid w:val="00CE17DE"/>
    <w:pPr>
      <w:tabs>
        <w:tab w:val="left" w:pos="1800"/>
        <w:tab w:val="right" w:pos="9360"/>
      </w:tabs>
      <w:spacing w:after="0"/>
    </w:pPr>
    <w:rPr>
      <w:rFonts w:ascii="Arial" w:hAnsi="Arial"/>
      <w:b/>
    </w:rPr>
  </w:style>
  <w:style w:type="paragraph" w:styleId="TOC9">
    <w:name w:val="toc 9"/>
    <w:basedOn w:val="TOC8"/>
    <w:semiHidden/>
    <w:rsid w:val="00CE17DE"/>
    <w:pPr>
      <w:ind w:left="1418" w:hanging="1418"/>
    </w:pPr>
  </w:style>
  <w:style w:type="paragraph" w:styleId="TOC6">
    <w:name w:val="toc 6"/>
    <w:basedOn w:val="TOC5"/>
    <w:next w:val="Normal"/>
    <w:semiHidden/>
    <w:rsid w:val="00CE17DE"/>
    <w:pPr>
      <w:ind w:left="1985" w:hanging="1985"/>
    </w:pPr>
  </w:style>
  <w:style w:type="paragraph" w:styleId="TOC7">
    <w:name w:val="toc 7"/>
    <w:basedOn w:val="TOC6"/>
    <w:next w:val="Normal"/>
    <w:semiHidden/>
    <w:rsid w:val="00CE17DE"/>
    <w:pPr>
      <w:ind w:left="2268" w:hanging="2268"/>
    </w:pPr>
  </w:style>
  <w:style w:type="paragraph" w:styleId="ListBullet2">
    <w:name w:val="List Bullet 2"/>
    <w:basedOn w:val="ListBullet"/>
    <w:rsid w:val="00CE17DE"/>
    <w:pPr>
      <w:numPr>
        <w:numId w:val="6"/>
      </w:numPr>
    </w:pPr>
  </w:style>
  <w:style w:type="paragraph" w:styleId="ListBullet">
    <w:name w:val="List Bullet"/>
    <w:basedOn w:val="BodyText"/>
    <w:rsid w:val="00CE17DE"/>
    <w:pPr>
      <w:numPr>
        <w:numId w:val="5"/>
      </w:numPr>
    </w:pPr>
  </w:style>
  <w:style w:type="paragraph" w:styleId="ListBullet3">
    <w:name w:val="List Bullet 3"/>
    <w:basedOn w:val="ListBullet2"/>
    <w:rsid w:val="00CE17DE"/>
    <w:pPr>
      <w:numPr>
        <w:numId w:val="7"/>
      </w:numPr>
    </w:pPr>
  </w:style>
  <w:style w:type="paragraph" w:customStyle="1" w:styleId="EQ">
    <w:name w:val="EQ"/>
    <w:basedOn w:val="Normal"/>
    <w:next w:val="Normal"/>
    <w:rsid w:val="00CE17DE"/>
    <w:pPr>
      <w:keepLines/>
      <w:tabs>
        <w:tab w:val="center" w:pos="4536"/>
        <w:tab w:val="right" w:pos="9072"/>
      </w:tabs>
      <w:spacing w:after="180"/>
      <w:jc w:val="left"/>
    </w:pPr>
    <w:rPr>
      <w:noProof/>
      <w:lang w:eastAsia="en-US"/>
    </w:rPr>
  </w:style>
  <w:style w:type="paragraph" w:styleId="List2">
    <w:name w:val="List 2"/>
    <w:basedOn w:val="List"/>
    <w:rsid w:val="00CE17DE"/>
    <w:pPr>
      <w:ind w:left="851"/>
    </w:pPr>
  </w:style>
  <w:style w:type="paragraph" w:styleId="List3">
    <w:name w:val="List 3"/>
    <w:basedOn w:val="List2"/>
    <w:rsid w:val="00CE17DE"/>
    <w:pPr>
      <w:ind w:left="1135"/>
    </w:pPr>
  </w:style>
  <w:style w:type="paragraph" w:styleId="List4">
    <w:name w:val="List 4"/>
    <w:basedOn w:val="List3"/>
    <w:rsid w:val="00CE17DE"/>
    <w:pPr>
      <w:ind w:left="1418"/>
    </w:pPr>
  </w:style>
  <w:style w:type="paragraph" w:styleId="List5">
    <w:name w:val="List 5"/>
    <w:basedOn w:val="List4"/>
    <w:rsid w:val="00CE17DE"/>
    <w:pPr>
      <w:ind w:left="1702"/>
    </w:pPr>
  </w:style>
  <w:style w:type="paragraph" w:customStyle="1" w:styleId="EditorsNote">
    <w:name w:val="Editor's Note"/>
    <w:basedOn w:val="Normal"/>
    <w:rsid w:val="00CE17DE"/>
    <w:pPr>
      <w:keepLines/>
      <w:spacing w:after="180"/>
      <w:ind w:left="1135" w:hanging="851"/>
      <w:jc w:val="left"/>
    </w:pPr>
    <w:rPr>
      <w:color w:val="FF0000"/>
      <w:lang w:eastAsia="en-US"/>
    </w:rPr>
  </w:style>
  <w:style w:type="paragraph" w:styleId="ListBullet4">
    <w:name w:val="List Bullet 4"/>
    <w:basedOn w:val="ListBullet3"/>
    <w:rsid w:val="00CE17DE"/>
    <w:pPr>
      <w:numPr>
        <w:numId w:val="8"/>
      </w:numPr>
    </w:pPr>
  </w:style>
  <w:style w:type="paragraph" w:styleId="ListBullet5">
    <w:name w:val="List Bullet 5"/>
    <w:basedOn w:val="ListBullet4"/>
    <w:rsid w:val="00CE17DE"/>
    <w:pPr>
      <w:numPr>
        <w:numId w:val="4"/>
      </w:numPr>
    </w:pPr>
  </w:style>
  <w:style w:type="paragraph" w:styleId="Footer">
    <w:name w:val="footer"/>
    <w:basedOn w:val="Header"/>
    <w:semiHidden/>
    <w:rsid w:val="00CE17DE"/>
    <w:pPr>
      <w:jc w:val="center"/>
    </w:pPr>
    <w:rPr>
      <w:i/>
      <w:iCs/>
    </w:rPr>
  </w:style>
  <w:style w:type="paragraph" w:customStyle="1" w:styleId="Reference">
    <w:name w:val="Reference"/>
    <w:basedOn w:val="Normal"/>
    <w:qFormat/>
    <w:rsid w:val="00CE17DE"/>
    <w:pPr>
      <w:numPr>
        <w:numId w:val="2"/>
      </w:numPr>
    </w:pPr>
  </w:style>
  <w:style w:type="paragraph" w:styleId="BalloonText">
    <w:name w:val="Balloon Text"/>
    <w:basedOn w:val="Normal"/>
    <w:semiHidden/>
    <w:rsid w:val="00CE17DE"/>
    <w:rPr>
      <w:rFonts w:ascii="Tahoma" w:hAnsi="Tahoma" w:cs="Tahoma"/>
      <w:sz w:val="16"/>
      <w:szCs w:val="16"/>
    </w:rPr>
  </w:style>
  <w:style w:type="character" w:styleId="PageNumber">
    <w:name w:val="page number"/>
    <w:basedOn w:val="DefaultParagraphFont"/>
    <w:semiHidden/>
    <w:rsid w:val="00CE17DE"/>
  </w:style>
  <w:style w:type="paragraph" w:styleId="BodyText">
    <w:name w:val="Body Text"/>
    <w:basedOn w:val="Normal"/>
    <w:link w:val="BodyTextChar"/>
    <w:qFormat/>
    <w:rsid w:val="00CE17DE"/>
  </w:style>
  <w:style w:type="character" w:styleId="Hyperlink">
    <w:name w:val="Hyperlink"/>
    <w:uiPriority w:val="99"/>
    <w:rsid w:val="00CE17DE"/>
    <w:rPr>
      <w:color w:val="0000FF"/>
      <w:u w:val="single"/>
      <w:lang w:val="en-GB"/>
    </w:rPr>
  </w:style>
  <w:style w:type="character" w:styleId="FollowedHyperlink">
    <w:name w:val="FollowedHyperlink"/>
    <w:semiHidden/>
    <w:rsid w:val="00CE17DE"/>
    <w:rPr>
      <w:color w:val="FF0000"/>
      <w:u w:val="single"/>
    </w:rPr>
  </w:style>
  <w:style w:type="character" w:styleId="CommentReference">
    <w:name w:val="annotation reference"/>
    <w:semiHidden/>
    <w:rsid w:val="00CE17DE"/>
    <w:rPr>
      <w:sz w:val="16"/>
      <w:szCs w:val="16"/>
    </w:rPr>
  </w:style>
  <w:style w:type="paragraph" w:styleId="CommentText">
    <w:name w:val="annotation text"/>
    <w:basedOn w:val="Normal"/>
    <w:semiHidden/>
    <w:rsid w:val="00CE17DE"/>
  </w:style>
  <w:style w:type="paragraph" w:styleId="CommentSubject">
    <w:name w:val="annotation subject"/>
    <w:basedOn w:val="CommentText"/>
    <w:next w:val="CommentText"/>
    <w:semiHidden/>
    <w:rsid w:val="00CE17DE"/>
    <w:rPr>
      <w:b/>
      <w:bCs/>
    </w:rPr>
  </w:style>
  <w:style w:type="character" w:customStyle="1" w:styleId="Heading1Char">
    <w:name w:val="Heading 1 Char"/>
    <w:link w:val="Heading1"/>
    <w:rsid w:val="00CE17DE"/>
    <w:rPr>
      <w:rFonts w:ascii="Arial" w:eastAsia="Times New Roman" w:hAnsi="Arial" w:cs="Arial"/>
      <w:sz w:val="32"/>
      <w:szCs w:val="36"/>
      <w:lang w:val="en-GB" w:eastAsia="zh-CN"/>
    </w:rPr>
  </w:style>
  <w:style w:type="paragraph" w:customStyle="1" w:styleId="B1">
    <w:name w:val="B1"/>
    <w:basedOn w:val="List"/>
    <w:rsid w:val="00CE17DE"/>
    <w:pPr>
      <w:spacing w:after="180"/>
      <w:jc w:val="left"/>
    </w:pPr>
    <w:rPr>
      <w:lang w:eastAsia="en-US"/>
    </w:rPr>
  </w:style>
  <w:style w:type="paragraph" w:customStyle="1" w:styleId="B2">
    <w:name w:val="B2"/>
    <w:basedOn w:val="List2"/>
    <w:rsid w:val="00CE17DE"/>
    <w:pPr>
      <w:spacing w:after="180"/>
      <w:jc w:val="left"/>
    </w:pPr>
    <w:rPr>
      <w:lang w:eastAsia="en-US"/>
    </w:rPr>
  </w:style>
  <w:style w:type="paragraph" w:customStyle="1" w:styleId="B3">
    <w:name w:val="B3"/>
    <w:basedOn w:val="List3"/>
    <w:rsid w:val="00CE17DE"/>
    <w:pPr>
      <w:spacing w:after="180"/>
      <w:jc w:val="left"/>
    </w:pPr>
    <w:rPr>
      <w:lang w:eastAsia="en-US"/>
    </w:rPr>
  </w:style>
  <w:style w:type="paragraph" w:customStyle="1" w:styleId="B4">
    <w:name w:val="B4"/>
    <w:basedOn w:val="List4"/>
    <w:rsid w:val="00CE17DE"/>
    <w:pPr>
      <w:spacing w:after="180"/>
      <w:jc w:val="left"/>
    </w:pPr>
    <w:rPr>
      <w:lang w:eastAsia="en-US"/>
    </w:rPr>
  </w:style>
  <w:style w:type="paragraph" w:customStyle="1" w:styleId="Proposal">
    <w:name w:val="Proposal"/>
    <w:basedOn w:val="Normal"/>
    <w:qFormat/>
    <w:rsid w:val="00CE17DE"/>
    <w:pPr>
      <w:numPr>
        <w:numId w:val="3"/>
      </w:numPr>
      <w:tabs>
        <w:tab w:val="clear" w:pos="1304"/>
        <w:tab w:val="left" w:pos="1701"/>
      </w:tabs>
      <w:ind w:left="1701" w:hanging="1701"/>
    </w:pPr>
    <w:rPr>
      <w:b/>
      <w:bCs/>
    </w:rPr>
  </w:style>
  <w:style w:type="character" w:customStyle="1" w:styleId="BodyTextChar">
    <w:name w:val="Body Text Char"/>
    <w:link w:val="BodyText"/>
    <w:rsid w:val="00CE17DE"/>
    <w:rPr>
      <w:rFonts w:ascii="Times New Roman" w:eastAsia="Times New Roman" w:hAnsi="Times New Roman"/>
      <w:lang w:val="en-GB" w:eastAsia="zh-CN"/>
    </w:rPr>
  </w:style>
  <w:style w:type="paragraph" w:customStyle="1" w:styleId="B5">
    <w:name w:val="B5"/>
    <w:basedOn w:val="List5"/>
    <w:rsid w:val="00CE17DE"/>
    <w:pPr>
      <w:spacing w:after="180"/>
      <w:jc w:val="left"/>
    </w:pPr>
    <w:rPr>
      <w:lang w:eastAsia="en-US"/>
    </w:rPr>
  </w:style>
  <w:style w:type="paragraph" w:customStyle="1" w:styleId="EX">
    <w:name w:val="EX"/>
    <w:basedOn w:val="Normal"/>
    <w:rsid w:val="00CE17DE"/>
    <w:pPr>
      <w:keepLines/>
      <w:spacing w:after="180"/>
      <w:ind w:left="1702" w:hanging="1418"/>
      <w:jc w:val="left"/>
    </w:pPr>
    <w:rPr>
      <w:lang w:eastAsia="en-US"/>
    </w:rPr>
  </w:style>
  <w:style w:type="paragraph" w:customStyle="1" w:styleId="EW">
    <w:name w:val="EW"/>
    <w:basedOn w:val="EX"/>
    <w:rsid w:val="00CE17DE"/>
    <w:pPr>
      <w:spacing w:after="0"/>
    </w:pPr>
  </w:style>
  <w:style w:type="paragraph" w:customStyle="1" w:styleId="TAL">
    <w:name w:val="TAL"/>
    <w:basedOn w:val="Normal"/>
    <w:link w:val="TALChar"/>
    <w:rsid w:val="00CE17DE"/>
    <w:pPr>
      <w:keepNext/>
      <w:keepLines/>
      <w:spacing w:after="0"/>
      <w:jc w:val="left"/>
    </w:pPr>
    <w:rPr>
      <w:sz w:val="18"/>
      <w:lang w:eastAsia="en-US"/>
    </w:rPr>
  </w:style>
  <w:style w:type="paragraph" w:customStyle="1" w:styleId="TAC">
    <w:name w:val="TAC"/>
    <w:basedOn w:val="TAL"/>
    <w:rsid w:val="00CE17DE"/>
    <w:pPr>
      <w:jc w:val="center"/>
    </w:pPr>
  </w:style>
  <w:style w:type="paragraph" w:customStyle="1" w:styleId="TAH">
    <w:name w:val="TAH"/>
    <w:basedOn w:val="TAC"/>
    <w:rsid w:val="00CE17DE"/>
    <w:rPr>
      <w:b/>
    </w:rPr>
  </w:style>
  <w:style w:type="paragraph" w:customStyle="1" w:styleId="TAN">
    <w:name w:val="TAN"/>
    <w:basedOn w:val="TAL"/>
    <w:rsid w:val="00CE17DE"/>
    <w:pPr>
      <w:ind w:left="851" w:hanging="851"/>
    </w:pPr>
  </w:style>
  <w:style w:type="paragraph" w:customStyle="1" w:styleId="TAR">
    <w:name w:val="TAR"/>
    <w:basedOn w:val="TAL"/>
    <w:rsid w:val="00CE17DE"/>
    <w:pPr>
      <w:jc w:val="right"/>
    </w:pPr>
  </w:style>
  <w:style w:type="paragraph" w:customStyle="1" w:styleId="TH">
    <w:name w:val="TH"/>
    <w:basedOn w:val="Normal"/>
    <w:rsid w:val="00CE17DE"/>
    <w:pPr>
      <w:keepNext/>
      <w:keepLines/>
      <w:spacing w:before="60" w:after="180"/>
      <w:jc w:val="center"/>
    </w:pPr>
    <w:rPr>
      <w:b/>
      <w:lang w:eastAsia="en-US"/>
    </w:rPr>
  </w:style>
  <w:style w:type="paragraph" w:customStyle="1" w:styleId="TF">
    <w:name w:val="TF"/>
    <w:basedOn w:val="TH"/>
    <w:rsid w:val="00CE17DE"/>
    <w:pPr>
      <w:keepNext w:val="0"/>
      <w:spacing w:before="0" w:after="240"/>
    </w:pPr>
  </w:style>
  <w:style w:type="paragraph" w:customStyle="1" w:styleId="TT">
    <w:name w:val="TT"/>
    <w:basedOn w:val="Heading1"/>
    <w:next w:val="Normal"/>
    <w:rsid w:val="00CE17DE"/>
    <w:pPr>
      <w:numPr>
        <w:numId w:val="0"/>
      </w:numPr>
      <w:ind w:left="1134" w:hanging="1134"/>
      <w:outlineLvl w:val="9"/>
    </w:pPr>
    <w:rPr>
      <w:rFonts w:cs="Times New Roman"/>
      <w:szCs w:val="20"/>
      <w:lang w:eastAsia="en-US"/>
    </w:rPr>
  </w:style>
  <w:style w:type="paragraph" w:customStyle="1" w:styleId="ZA">
    <w:name w:val="ZA"/>
    <w:rsid w:val="00CE17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E17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CE17D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CE17D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CE17DE"/>
  </w:style>
  <w:style w:type="paragraph" w:customStyle="1" w:styleId="ZH">
    <w:name w:val="ZH"/>
    <w:rsid w:val="00CE17D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CE17D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CE17DE"/>
    <w:pPr>
      <w:framePr w:hRule="auto" w:wrap="notBeside" w:y="852"/>
    </w:pPr>
    <w:rPr>
      <w:i w:val="0"/>
      <w:sz w:val="40"/>
    </w:rPr>
  </w:style>
  <w:style w:type="paragraph" w:customStyle="1" w:styleId="ZU">
    <w:name w:val="ZU"/>
    <w:rsid w:val="00CE17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CE17DE"/>
    <w:pPr>
      <w:framePr w:wrap="notBeside" w:y="16161"/>
    </w:pPr>
  </w:style>
  <w:style w:type="paragraph" w:customStyle="1" w:styleId="FP">
    <w:name w:val="FP"/>
    <w:basedOn w:val="Normal"/>
    <w:rsid w:val="00CE17DE"/>
    <w:pPr>
      <w:spacing w:after="0"/>
      <w:jc w:val="left"/>
    </w:pPr>
    <w:rPr>
      <w:lang w:eastAsia="en-US"/>
    </w:rPr>
  </w:style>
  <w:style w:type="paragraph" w:customStyle="1" w:styleId="Observation">
    <w:name w:val="Observation"/>
    <w:basedOn w:val="Proposal"/>
    <w:qFormat/>
    <w:rsid w:val="00CE17DE"/>
    <w:pPr>
      <w:numPr>
        <w:numId w:val="9"/>
      </w:numPr>
      <w:ind w:left="1701" w:hanging="1701"/>
    </w:pPr>
  </w:style>
  <w:style w:type="paragraph" w:styleId="TableofFigures">
    <w:name w:val="table of figures"/>
    <w:basedOn w:val="Normal"/>
    <w:next w:val="Normal"/>
    <w:uiPriority w:val="99"/>
    <w:rsid w:val="00CE17DE"/>
    <w:pPr>
      <w:ind w:left="1418" w:hanging="1418"/>
      <w:jc w:val="left"/>
    </w:pPr>
    <w:rPr>
      <w:b/>
    </w:rPr>
  </w:style>
  <w:style w:type="paragraph" w:styleId="Index4">
    <w:name w:val="index 4"/>
    <w:basedOn w:val="Normal"/>
    <w:next w:val="Normal"/>
    <w:autoRedefine/>
    <w:rsid w:val="00CE17DE"/>
    <w:pPr>
      <w:ind w:left="800" w:hanging="200"/>
    </w:pPr>
  </w:style>
  <w:style w:type="paragraph" w:styleId="ListParagraph">
    <w:name w:val="List Paragraph"/>
    <w:aliases w:val="- Bullets,リスト段落,목록 단락"/>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リスト段落 Char,목록 단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imes New Roman" w:eastAsia="Times New Roman" w:hAnsi="Times New Roman"/>
      <w:b/>
      <w:bCs/>
      <w:lang w:val="en-GB" w:eastAsia="zh-CN"/>
    </w:rPr>
  </w:style>
  <w:style w:type="paragraph" w:customStyle="1" w:styleId="bullet1">
    <w:name w:val="bullet1"/>
    <w:basedOn w:val="Normal"/>
    <w:link w:val="bullet1Char"/>
    <w:qFormat/>
    <w:rsid w:val="00726DE5"/>
    <w:pPr>
      <w:numPr>
        <w:numId w:val="12"/>
      </w:numPr>
      <w:overflowPunct/>
      <w:autoSpaceDE/>
      <w:autoSpaceDN/>
      <w:adjustRightInd/>
      <w:spacing w:after="0"/>
      <w:jc w:val="left"/>
      <w:textAlignment w:val="auto"/>
    </w:pPr>
    <w:rPr>
      <w:rFonts w:ascii="Calibri" w:eastAsia="SimSun" w:hAnsi="Calibri"/>
      <w:kern w:val="2"/>
      <w:sz w:val="24"/>
      <w:szCs w:val="24"/>
    </w:rPr>
  </w:style>
  <w:style w:type="paragraph" w:customStyle="1" w:styleId="bullet2">
    <w:name w:val="bullet2"/>
    <w:basedOn w:val="Normal"/>
    <w:link w:val="bullet2Char"/>
    <w:qFormat/>
    <w:rsid w:val="00726DE5"/>
    <w:pPr>
      <w:numPr>
        <w:ilvl w:val="1"/>
        <w:numId w:val="12"/>
      </w:numPr>
      <w:overflowPunct/>
      <w:autoSpaceDE/>
      <w:autoSpaceDN/>
      <w:adjustRightInd/>
      <w:spacing w:after="0"/>
      <w:jc w:val="left"/>
      <w:textAlignment w:val="auto"/>
    </w:pPr>
    <w:rPr>
      <w:rFonts w:ascii="Times" w:eastAsia="SimSun" w:hAnsi="Times"/>
      <w:kern w:val="2"/>
      <w:sz w:val="24"/>
      <w:szCs w:val="24"/>
    </w:rPr>
  </w:style>
  <w:style w:type="character" w:customStyle="1" w:styleId="bullet1Char">
    <w:name w:val="bullet1 Char"/>
    <w:link w:val="bullet1"/>
    <w:rsid w:val="00726DE5"/>
    <w:rPr>
      <w:rFonts w:ascii="Calibri" w:eastAsia="SimSun" w:hAnsi="Calibri"/>
      <w:kern w:val="2"/>
      <w:sz w:val="24"/>
      <w:szCs w:val="24"/>
      <w:lang w:val="en-GB" w:eastAsia="zh-CN"/>
    </w:rPr>
  </w:style>
  <w:style w:type="paragraph" w:customStyle="1" w:styleId="bullet3">
    <w:name w:val="bullet3"/>
    <w:basedOn w:val="Normal"/>
    <w:link w:val="bullet3Char"/>
    <w:qFormat/>
    <w:rsid w:val="00726DE5"/>
    <w:pPr>
      <w:numPr>
        <w:ilvl w:val="2"/>
        <w:numId w:val="12"/>
      </w:numPr>
      <w:tabs>
        <w:tab w:val="num" w:pos="2160"/>
      </w:tabs>
      <w:overflowPunct/>
      <w:autoSpaceDE/>
      <w:autoSpaceDN/>
      <w:adjustRightInd/>
      <w:spacing w:after="0"/>
      <w:jc w:val="left"/>
      <w:textAlignment w:val="auto"/>
    </w:pPr>
    <w:rPr>
      <w:rFonts w:ascii="Times" w:eastAsia="Batang" w:hAnsi="Times"/>
      <w:szCs w:val="24"/>
      <w:lang w:eastAsia="en-US"/>
    </w:rPr>
  </w:style>
  <w:style w:type="character" w:customStyle="1" w:styleId="bullet2Char">
    <w:name w:val="bullet2 Char"/>
    <w:link w:val="bullet2"/>
    <w:rsid w:val="00726DE5"/>
    <w:rPr>
      <w:rFonts w:ascii="Times" w:eastAsia="SimSun" w:hAnsi="Times"/>
      <w:kern w:val="2"/>
      <w:sz w:val="24"/>
      <w:szCs w:val="24"/>
      <w:lang w:val="en-GB" w:eastAsia="zh-CN"/>
    </w:rPr>
  </w:style>
  <w:style w:type="paragraph" w:customStyle="1" w:styleId="bullet4">
    <w:name w:val="bullet4"/>
    <w:basedOn w:val="Normal"/>
    <w:qFormat/>
    <w:rsid w:val="00726DE5"/>
    <w:pPr>
      <w:numPr>
        <w:ilvl w:val="3"/>
        <w:numId w:val="12"/>
      </w:numPr>
      <w:tabs>
        <w:tab w:val="num" w:pos="2880"/>
      </w:tabs>
      <w:overflowPunct/>
      <w:autoSpaceDE/>
      <w:autoSpaceDN/>
      <w:adjustRightInd/>
      <w:spacing w:after="0"/>
      <w:jc w:val="left"/>
      <w:textAlignment w:val="auto"/>
    </w:pPr>
    <w:rPr>
      <w:rFonts w:ascii="Times" w:eastAsia="Batang" w:hAnsi="Times"/>
      <w:szCs w:val="24"/>
      <w:lang w:eastAsia="en-US"/>
    </w:rPr>
  </w:style>
  <w:style w:type="character" w:customStyle="1" w:styleId="bullet3Char">
    <w:name w:val="bullet3 Char"/>
    <w:link w:val="bullet3"/>
    <w:rsid w:val="00726DE5"/>
    <w:rPr>
      <w:rFonts w:ascii="Times" w:eastAsia="Batang" w:hAnsi="Times"/>
      <w:szCs w:val="24"/>
      <w:lang w:val="en-GB"/>
    </w:rPr>
  </w:style>
  <w:style w:type="paragraph" w:customStyle="1" w:styleId="LGTdoc">
    <w:name w:val="LGTdoc_본문"/>
    <w:basedOn w:val="Normal"/>
    <w:rsid w:val="0043710F"/>
    <w:pPr>
      <w:widowControl w:val="0"/>
      <w:overflowPunct/>
      <w:snapToGrid w:val="0"/>
      <w:spacing w:afterLines="50" w:line="264" w:lineRule="auto"/>
      <w:textAlignment w:val="auto"/>
    </w:pPr>
    <w:rPr>
      <w:rFonts w:eastAsia="Batang"/>
      <w:kern w:val="2"/>
      <w:sz w:val="22"/>
      <w:szCs w:val="24"/>
      <w:lang w:eastAsia="ko-KR"/>
    </w:rPr>
  </w:style>
  <w:style w:type="paragraph" w:customStyle="1" w:styleId="RAN1bullet3">
    <w:name w:val="RAN1 bullet3"/>
    <w:basedOn w:val="Normal"/>
    <w:link w:val="RAN1bullet3Char"/>
    <w:qFormat/>
    <w:rsid w:val="0043710F"/>
    <w:pPr>
      <w:numPr>
        <w:ilvl w:val="2"/>
        <w:numId w:val="18"/>
      </w:numPr>
      <w:tabs>
        <w:tab w:val="left" w:pos="1440"/>
      </w:tabs>
      <w:overflowPunct/>
      <w:autoSpaceDE/>
      <w:autoSpaceDN/>
      <w:adjustRightInd/>
      <w:spacing w:after="0"/>
      <w:jc w:val="left"/>
      <w:textAlignment w:val="auto"/>
    </w:pPr>
    <w:rPr>
      <w:rFonts w:ascii="Times" w:eastAsia="Batang" w:hAnsi="Times"/>
      <w:lang w:val="en-US" w:eastAsia="en-US"/>
    </w:rPr>
  </w:style>
  <w:style w:type="paragraph" w:customStyle="1" w:styleId="PL">
    <w:name w:val="PL"/>
    <w:link w:val="PLChar"/>
    <w:rsid w:val="00391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391307"/>
    <w:rPr>
      <w:rFonts w:ascii="Courier New" w:hAnsi="Courier New"/>
      <w:noProof/>
      <w:sz w:val="16"/>
      <w:shd w:val="clear" w:color="auto" w:fill="E6E6E6"/>
      <w:lang w:val="en-GB" w:eastAsia="sv-SE"/>
    </w:rPr>
  </w:style>
  <w:style w:type="table" w:styleId="TableGrid">
    <w:name w:val="Table Grid"/>
    <w:basedOn w:val="TableNormal"/>
    <w:rsid w:val="00AE64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E6507"/>
    <w:pPr>
      <w:overflowPunct/>
      <w:autoSpaceDE/>
      <w:autoSpaceDN/>
      <w:adjustRightInd/>
      <w:spacing w:after="0"/>
      <w:jc w:val="left"/>
      <w:textAlignment w:val="auto"/>
    </w:pPr>
    <w:rPr>
      <w:rFonts w:ascii="Times" w:eastAsia="Batang" w:hAnsi="Times"/>
      <w:szCs w:val="24"/>
      <w:lang w:eastAsia="x-none"/>
    </w:rPr>
  </w:style>
  <w:style w:type="paragraph" w:customStyle="1" w:styleId="RAN1bullet2">
    <w:name w:val="RAN1 bullet2"/>
    <w:basedOn w:val="Normal"/>
    <w:link w:val="RAN1bullet2Char"/>
    <w:qFormat/>
    <w:rsid w:val="000E6507"/>
    <w:pPr>
      <w:numPr>
        <w:ilvl w:val="1"/>
        <w:numId w:val="42"/>
      </w:numPr>
      <w:tabs>
        <w:tab w:val="left" w:pos="1440"/>
      </w:tabs>
      <w:overflowPunct/>
      <w:autoSpaceDE/>
      <w:autoSpaceDN/>
      <w:adjustRightInd/>
      <w:spacing w:after="0"/>
      <w:jc w:val="left"/>
      <w:textAlignment w:val="auto"/>
    </w:pPr>
    <w:rPr>
      <w:rFonts w:ascii="Times" w:eastAsia="Batang" w:hAnsi="Times"/>
      <w:lang w:val="en-US" w:eastAsia="en-US"/>
    </w:rPr>
  </w:style>
  <w:style w:type="character" w:customStyle="1" w:styleId="RAN1bullet1Char">
    <w:name w:val="RAN1 bullet1 Char"/>
    <w:link w:val="RAN1bullet1"/>
    <w:rsid w:val="000E6507"/>
    <w:rPr>
      <w:rFonts w:ascii="Times" w:eastAsia="Batang" w:hAnsi="Times"/>
      <w:szCs w:val="24"/>
      <w:lang w:val="en-GB" w:eastAsia="x-none"/>
    </w:rPr>
  </w:style>
  <w:style w:type="character" w:customStyle="1" w:styleId="RAN1bullet2Char">
    <w:name w:val="RAN1 bullet2 Char"/>
    <w:link w:val="RAN1bullet2"/>
    <w:rsid w:val="000E6507"/>
    <w:rPr>
      <w:rFonts w:ascii="Times" w:eastAsia="Batang" w:hAnsi="Times"/>
    </w:rPr>
  </w:style>
  <w:style w:type="character" w:customStyle="1" w:styleId="RAN1bullet3Char">
    <w:name w:val="RAN1 bullet3 Char"/>
    <w:link w:val="RAN1bullet3"/>
    <w:rsid w:val="000E6507"/>
    <w:rPr>
      <w:rFonts w:ascii="Times" w:eastAsia="Batang" w:hAnsi="Times"/>
    </w:rPr>
  </w:style>
  <w:style w:type="paragraph" w:customStyle="1" w:styleId="text">
    <w:name w:val="text"/>
    <w:basedOn w:val="Normal"/>
    <w:link w:val="textChar"/>
    <w:qFormat/>
    <w:rsid w:val="00FE07F2"/>
    <w:pPr>
      <w:widowControl w:val="0"/>
      <w:overflowPunct/>
      <w:autoSpaceDE/>
      <w:autoSpaceDN/>
      <w:adjustRightInd/>
      <w:spacing w:after="240"/>
      <w:textAlignment w:val="auto"/>
    </w:pPr>
    <w:rPr>
      <w:rFonts w:ascii="Calibri" w:eastAsia="SimSun" w:hAnsi="Calibri"/>
      <w:kern w:val="2"/>
      <w:sz w:val="24"/>
      <w:lang w:val="en-US"/>
    </w:rPr>
  </w:style>
  <w:style w:type="character" w:customStyle="1" w:styleId="textChar">
    <w:name w:val="text Char"/>
    <w:link w:val="text"/>
    <w:rsid w:val="00FE07F2"/>
    <w:rPr>
      <w:rFonts w:ascii="Calibri" w:eastAsia="SimSun" w:hAnsi="Calibri"/>
      <w:kern w:val="2"/>
      <w:sz w:val="24"/>
      <w:lang w:eastAsia="zh-CN"/>
    </w:rPr>
  </w:style>
  <w:style w:type="character" w:customStyle="1" w:styleId="TALChar">
    <w:name w:val="TAL Char"/>
    <w:basedOn w:val="DefaultParagraphFont"/>
    <w:link w:val="TAL"/>
    <w:locked/>
    <w:rsid w:val="00AB5A84"/>
    <w:rPr>
      <w:rFonts w:ascii="Times New Roman" w:eastAsia="Times New Roman" w:hAnsi="Times New Roman"/>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64862">
      <w:bodyDiv w:val="1"/>
      <w:marLeft w:val="0"/>
      <w:marRight w:val="0"/>
      <w:marTop w:val="0"/>
      <w:marBottom w:val="0"/>
      <w:divBdr>
        <w:top w:val="none" w:sz="0" w:space="0" w:color="auto"/>
        <w:left w:val="none" w:sz="0" w:space="0" w:color="auto"/>
        <w:bottom w:val="none" w:sz="0" w:space="0" w:color="auto"/>
        <w:right w:val="none" w:sz="0" w:space="0" w:color="auto"/>
      </w:divBdr>
    </w:div>
    <w:div w:id="71975311">
      <w:bodyDiv w:val="1"/>
      <w:marLeft w:val="0"/>
      <w:marRight w:val="0"/>
      <w:marTop w:val="0"/>
      <w:marBottom w:val="0"/>
      <w:divBdr>
        <w:top w:val="none" w:sz="0" w:space="0" w:color="auto"/>
        <w:left w:val="none" w:sz="0" w:space="0" w:color="auto"/>
        <w:bottom w:val="none" w:sz="0" w:space="0" w:color="auto"/>
        <w:right w:val="none" w:sz="0" w:space="0" w:color="auto"/>
      </w:divBdr>
    </w:div>
    <w:div w:id="75633364">
      <w:bodyDiv w:val="1"/>
      <w:marLeft w:val="0"/>
      <w:marRight w:val="0"/>
      <w:marTop w:val="0"/>
      <w:marBottom w:val="0"/>
      <w:divBdr>
        <w:top w:val="none" w:sz="0" w:space="0" w:color="auto"/>
        <w:left w:val="none" w:sz="0" w:space="0" w:color="auto"/>
        <w:bottom w:val="none" w:sz="0" w:space="0" w:color="auto"/>
        <w:right w:val="none" w:sz="0" w:space="0" w:color="auto"/>
      </w:divBdr>
    </w:div>
    <w:div w:id="154883302">
      <w:bodyDiv w:val="1"/>
      <w:marLeft w:val="0"/>
      <w:marRight w:val="0"/>
      <w:marTop w:val="0"/>
      <w:marBottom w:val="0"/>
      <w:divBdr>
        <w:top w:val="none" w:sz="0" w:space="0" w:color="auto"/>
        <w:left w:val="none" w:sz="0" w:space="0" w:color="auto"/>
        <w:bottom w:val="none" w:sz="0" w:space="0" w:color="auto"/>
        <w:right w:val="none" w:sz="0" w:space="0" w:color="auto"/>
      </w:divBdr>
    </w:div>
    <w:div w:id="181282933">
      <w:bodyDiv w:val="1"/>
      <w:marLeft w:val="0"/>
      <w:marRight w:val="0"/>
      <w:marTop w:val="0"/>
      <w:marBottom w:val="0"/>
      <w:divBdr>
        <w:top w:val="none" w:sz="0" w:space="0" w:color="auto"/>
        <w:left w:val="none" w:sz="0" w:space="0" w:color="auto"/>
        <w:bottom w:val="none" w:sz="0" w:space="0" w:color="auto"/>
        <w:right w:val="none" w:sz="0" w:space="0" w:color="auto"/>
      </w:divBdr>
    </w:div>
    <w:div w:id="252469451">
      <w:bodyDiv w:val="1"/>
      <w:marLeft w:val="0"/>
      <w:marRight w:val="0"/>
      <w:marTop w:val="0"/>
      <w:marBottom w:val="0"/>
      <w:divBdr>
        <w:top w:val="none" w:sz="0" w:space="0" w:color="auto"/>
        <w:left w:val="none" w:sz="0" w:space="0" w:color="auto"/>
        <w:bottom w:val="none" w:sz="0" w:space="0" w:color="auto"/>
        <w:right w:val="none" w:sz="0" w:space="0" w:color="auto"/>
      </w:divBdr>
    </w:div>
    <w:div w:id="482895743">
      <w:bodyDiv w:val="1"/>
      <w:marLeft w:val="0"/>
      <w:marRight w:val="0"/>
      <w:marTop w:val="0"/>
      <w:marBottom w:val="0"/>
      <w:divBdr>
        <w:top w:val="none" w:sz="0" w:space="0" w:color="auto"/>
        <w:left w:val="none" w:sz="0" w:space="0" w:color="auto"/>
        <w:bottom w:val="none" w:sz="0" w:space="0" w:color="auto"/>
        <w:right w:val="none" w:sz="0" w:space="0" w:color="auto"/>
      </w:divBdr>
    </w:div>
    <w:div w:id="493494078">
      <w:bodyDiv w:val="1"/>
      <w:marLeft w:val="0"/>
      <w:marRight w:val="0"/>
      <w:marTop w:val="0"/>
      <w:marBottom w:val="0"/>
      <w:divBdr>
        <w:top w:val="none" w:sz="0" w:space="0" w:color="auto"/>
        <w:left w:val="none" w:sz="0" w:space="0" w:color="auto"/>
        <w:bottom w:val="none" w:sz="0" w:space="0" w:color="auto"/>
        <w:right w:val="none" w:sz="0" w:space="0" w:color="auto"/>
      </w:divBdr>
    </w:div>
    <w:div w:id="500238933">
      <w:bodyDiv w:val="1"/>
      <w:marLeft w:val="0"/>
      <w:marRight w:val="0"/>
      <w:marTop w:val="0"/>
      <w:marBottom w:val="0"/>
      <w:divBdr>
        <w:top w:val="none" w:sz="0" w:space="0" w:color="auto"/>
        <w:left w:val="none" w:sz="0" w:space="0" w:color="auto"/>
        <w:bottom w:val="none" w:sz="0" w:space="0" w:color="auto"/>
        <w:right w:val="none" w:sz="0" w:space="0" w:color="auto"/>
      </w:divBdr>
    </w:div>
    <w:div w:id="506943535">
      <w:bodyDiv w:val="1"/>
      <w:marLeft w:val="0"/>
      <w:marRight w:val="0"/>
      <w:marTop w:val="0"/>
      <w:marBottom w:val="0"/>
      <w:divBdr>
        <w:top w:val="none" w:sz="0" w:space="0" w:color="auto"/>
        <w:left w:val="none" w:sz="0" w:space="0" w:color="auto"/>
        <w:bottom w:val="none" w:sz="0" w:space="0" w:color="auto"/>
        <w:right w:val="none" w:sz="0" w:space="0" w:color="auto"/>
      </w:divBdr>
    </w:div>
    <w:div w:id="767969026">
      <w:bodyDiv w:val="1"/>
      <w:marLeft w:val="0"/>
      <w:marRight w:val="0"/>
      <w:marTop w:val="0"/>
      <w:marBottom w:val="0"/>
      <w:divBdr>
        <w:top w:val="none" w:sz="0" w:space="0" w:color="auto"/>
        <w:left w:val="none" w:sz="0" w:space="0" w:color="auto"/>
        <w:bottom w:val="none" w:sz="0" w:space="0" w:color="auto"/>
        <w:right w:val="none" w:sz="0" w:space="0" w:color="auto"/>
      </w:divBdr>
    </w:div>
    <w:div w:id="831330458">
      <w:bodyDiv w:val="1"/>
      <w:marLeft w:val="0"/>
      <w:marRight w:val="0"/>
      <w:marTop w:val="0"/>
      <w:marBottom w:val="0"/>
      <w:divBdr>
        <w:top w:val="none" w:sz="0" w:space="0" w:color="auto"/>
        <w:left w:val="none" w:sz="0" w:space="0" w:color="auto"/>
        <w:bottom w:val="none" w:sz="0" w:space="0" w:color="auto"/>
        <w:right w:val="none" w:sz="0" w:space="0" w:color="auto"/>
      </w:divBdr>
    </w:div>
    <w:div w:id="889271175">
      <w:bodyDiv w:val="1"/>
      <w:marLeft w:val="0"/>
      <w:marRight w:val="0"/>
      <w:marTop w:val="0"/>
      <w:marBottom w:val="0"/>
      <w:divBdr>
        <w:top w:val="none" w:sz="0" w:space="0" w:color="auto"/>
        <w:left w:val="none" w:sz="0" w:space="0" w:color="auto"/>
        <w:bottom w:val="none" w:sz="0" w:space="0" w:color="auto"/>
        <w:right w:val="none" w:sz="0" w:space="0" w:color="auto"/>
      </w:divBdr>
    </w:div>
    <w:div w:id="890264960">
      <w:bodyDiv w:val="1"/>
      <w:marLeft w:val="0"/>
      <w:marRight w:val="0"/>
      <w:marTop w:val="0"/>
      <w:marBottom w:val="0"/>
      <w:divBdr>
        <w:top w:val="none" w:sz="0" w:space="0" w:color="auto"/>
        <w:left w:val="none" w:sz="0" w:space="0" w:color="auto"/>
        <w:bottom w:val="none" w:sz="0" w:space="0" w:color="auto"/>
        <w:right w:val="none" w:sz="0" w:space="0" w:color="auto"/>
      </w:divBdr>
    </w:div>
    <w:div w:id="1019576212">
      <w:bodyDiv w:val="1"/>
      <w:marLeft w:val="0"/>
      <w:marRight w:val="0"/>
      <w:marTop w:val="0"/>
      <w:marBottom w:val="0"/>
      <w:divBdr>
        <w:top w:val="none" w:sz="0" w:space="0" w:color="auto"/>
        <w:left w:val="none" w:sz="0" w:space="0" w:color="auto"/>
        <w:bottom w:val="none" w:sz="0" w:space="0" w:color="auto"/>
        <w:right w:val="none" w:sz="0" w:space="0" w:color="auto"/>
      </w:divBdr>
    </w:div>
    <w:div w:id="1029381338">
      <w:bodyDiv w:val="1"/>
      <w:marLeft w:val="0"/>
      <w:marRight w:val="0"/>
      <w:marTop w:val="0"/>
      <w:marBottom w:val="0"/>
      <w:divBdr>
        <w:top w:val="none" w:sz="0" w:space="0" w:color="auto"/>
        <w:left w:val="none" w:sz="0" w:space="0" w:color="auto"/>
        <w:bottom w:val="none" w:sz="0" w:space="0" w:color="auto"/>
        <w:right w:val="none" w:sz="0" w:space="0" w:color="auto"/>
      </w:divBdr>
    </w:div>
    <w:div w:id="1179733643">
      <w:bodyDiv w:val="1"/>
      <w:marLeft w:val="0"/>
      <w:marRight w:val="0"/>
      <w:marTop w:val="0"/>
      <w:marBottom w:val="0"/>
      <w:divBdr>
        <w:top w:val="none" w:sz="0" w:space="0" w:color="auto"/>
        <w:left w:val="none" w:sz="0" w:space="0" w:color="auto"/>
        <w:bottom w:val="none" w:sz="0" w:space="0" w:color="auto"/>
        <w:right w:val="none" w:sz="0" w:space="0" w:color="auto"/>
      </w:divBdr>
    </w:div>
    <w:div w:id="1201090037">
      <w:bodyDiv w:val="1"/>
      <w:marLeft w:val="0"/>
      <w:marRight w:val="0"/>
      <w:marTop w:val="0"/>
      <w:marBottom w:val="0"/>
      <w:divBdr>
        <w:top w:val="none" w:sz="0" w:space="0" w:color="auto"/>
        <w:left w:val="none" w:sz="0" w:space="0" w:color="auto"/>
        <w:bottom w:val="none" w:sz="0" w:space="0" w:color="auto"/>
        <w:right w:val="none" w:sz="0" w:space="0" w:color="auto"/>
      </w:divBdr>
    </w:div>
    <w:div w:id="1221747398">
      <w:bodyDiv w:val="1"/>
      <w:marLeft w:val="0"/>
      <w:marRight w:val="0"/>
      <w:marTop w:val="0"/>
      <w:marBottom w:val="0"/>
      <w:divBdr>
        <w:top w:val="none" w:sz="0" w:space="0" w:color="auto"/>
        <w:left w:val="none" w:sz="0" w:space="0" w:color="auto"/>
        <w:bottom w:val="none" w:sz="0" w:space="0" w:color="auto"/>
        <w:right w:val="none" w:sz="0" w:space="0" w:color="auto"/>
      </w:divBdr>
    </w:div>
    <w:div w:id="1341539808">
      <w:bodyDiv w:val="1"/>
      <w:marLeft w:val="0"/>
      <w:marRight w:val="0"/>
      <w:marTop w:val="0"/>
      <w:marBottom w:val="0"/>
      <w:divBdr>
        <w:top w:val="none" w:sz="0" w:space="0" w:color="auto"/>
        <w:left w:val="none" w:sz="0" w:space="0" w:color="auto"/>
        <w:bottom w:val="none" w:sz="0" w:space="0" w:color="auto"/>
        <w:right w:val="none" w:sz="0" w:space="0" w:color="auto"/>
      </w:divBdr>
    </w:div>
    <w:div w:id="1391536584">
      <w:bodyDiv w:val="1"/>
      <w:marLeft w:val="0"/>
      <w:marRight w:val="0"/>
      <w:marTop w:val="0"/>
      <w:marBottom w:val="0"/>
      <w:divBdr>
        <w:top w:val="none" w:sz="0" w:space="0" w:color="auto"/>
        <w:left w:val="none" w:sz="0" w:space="0" w:color="auto"/>
        <w:bottom w:val="none" w:sz="0" w:space="0" w:color="auto"/>
        <w:right w:val="none" w:sz="0" w:space="0" w:color="auto"/>
      </w:divBdr>
    </w:div>
    <w:div w:id="1403675628">
      <w:bodyDiv w:val="1"/>
      <w:marLeft w:val="0"/>
      <w:marRight w:val="0"/>
      <w:marTop w:val="0"/>
      <w:marBottom w:val="0"/>
      <w:divBdr>
        <w:top w:val="none" w:sz="0" w:space="0" w:color="auto"/>
        <w:left w:val="none" w:sz="0" w:space="0" w:color="auto"/>
        <w:bottom w:val="none" w:sz="0" w:space="0" w:color="auto"/>
        <w:right w:val="none" w:sz="0" w:space="0" w:color="auto"/>
      </w:divBdr>
    </w:div>
    <w:div w:id="1428383390">
      <w:bodyDiv w:val="1"/>
      <w:marLeft w:val="0"/>
      <w:marRight w:val="0"/>
      <w:marTop w:val="0"/>
      <w:marBottom w:val="0"/>
      <w:divBdr>
        <w:top w:val="none" w:sz="0" w:space="0" w:color="auto"/>
        <w:left w:val="none" w:sz="0" w:space="0" w:color="auto"/>
        <w:bottom w:val="none" w:sz="0" w:space="0" w:color="auto"/>
        <w:right w:val="none" w:sz="0" w:space="0" w:color="auto"/>
      </w:divBdr>
    </w:div>
    <w:div w:id="1442647061">
      <w:bodyDiv w:val="1"/>
      <w:marLeft w:val="0"/>
      <w:marRight w:val="0"/>
      <w:marTop w:val="0"/>
      <w:marBottom w:val="0"/>
      <w:divBdr>
        <w:top w:val="none" w:sz="0" w:space="0" w:color="auto"/>
        <w:left w:val="none" w:sz="0" w:space="0" w:color="auto"/>
        <w:bottom w:val="none" w:sz="0" w:space="0" w:color="auto"/>
        <w:right w:val="none" w:sz="0" w:space="0" w:color="auto"/>
      </w:divBdr>
    </w:div>
    <w:div w:id="1487934986">
      <w:bodyDiv w:val="1"/>
      <w:marLeft w:val="0"/>
      <w:marRight w:val="0"/>
      <w:marTop w:val="0"/>
      <w:marBottom w:val="0"/>
      <w:divBdr>
        <w:top w:val="none" w:sz="0" w:space="0" w:color="auto"/>
        <w:left w:val="none" w:sz="0" w:space="0" w:color="auto"/>
        <w:bottom w:val="none" w:sz="0" w:space="0" w:color="auto"/>
        <w:right w:val="none" w:sz="0" w:space="0" w:color="auto"/>
      </w:divBdr>
    </w:div>
    <w:div w:id="1584072094">
      <w:bodyDiv w:val="1"/>
      <w:marLeft w:val="0"/>
      <w:marRight w:val="0"/>
      <w:marTop w:val="0"/>
      <w:marBottom w:val="0"/>
      <w:divBdr>
        <w:top w:val="none" w:sz="0" w:space="0" w:color="auto"/>
        <w:left w:val="none" w:sz="0" w:space="0" w:color="auto"/>
        <w:bottom w:val="none" w:sz="0" w:space="0" w:color="auto"/>
        <w:right w:val="none" w:sz="0" w:space="0" w:color="auto"/>
      </w:divBdr>
    </w:div>
    <w:div w:id="1622834710">
      <w:bodyDiv w:val="1"/>
      <w:marLeft w:val="0"/>
      <w:marRight w:val="0"/>
      <w:marTop w:val="0"/>
      <w:marBottom w:val="0"/>
      <w:divBdr>
        <w:top w:val="none" w:sz="0" w:space="0" w:color="auto"/>
        <w:left w:val="none" w:sz="0" w:space="0" w:color="auto"/>
        <w:bottom w:val="none" w:sz="0" w:space="0" w:color="auto"/>
        <w:right w:val="none" w:sz="0" w:space="0" w:color="auto"/>
      </w:divBdr>
    </w:div>
    <w:div w:id="1698265290">
      <w:bodyDiv w:val="1"/>
      <w:marLeft w:val="0"/>
      <w:marRight w:val="0"/>
      <w:marTop w:val="0"/>
      <w:marBottom w:val="0"/>
      <w:divBdr>
        <w:top w:val="none" w:sz="0" w:space="0" w:color="auto"/>
        <w:left w:val="none" w:sz="0" w:space="0" w:color="auto"/>
        <w:bottom w:val="none" w:sz="0" w:space="0" w:color="auto"/>
        <w:right w:val="none" w:sz="0" w:space="0" w:color="auto"/>
      </w:divBdr>
    </w:div>
    <w:div w:id="1725832564">
      <w:bodyDiv w:val="1"/>
      <w:marLeft w:val="0"/>
      <w:marRight w:val="0"/>
      <w:marTop w:val="0"/>
      <w:marBottom w:val="0"/>
      <w:divBdr>
        <w:top w:val="none" w:sz="0" w:space="0" w:color="auto"/>
        <w:left w:val="none" w:sz="0" w:space="0" w:color="auto"/>
        <w:bottom w:val="none" w:sz="0" w:space="0" w:color="auto"/>
        <w:right w:val="none" w:sz="0" w:space="0" w:color="auto"/>
      </w:divBdr>
    </w:div>
    <w:div w:id="1821849876">
      <w:bodyDiv w:val="1"/>
      <w:marLeft w:val="0"/>
      <w:marRight w:val="0"/>
      <w:marTop w:val="0"/>
      <w:marBottom w:val="0"/>
      <w:divBdr>
        <w:top w:val="none" w:sz="0" w:space="0" w:color="auto"/>
        <w:left w:val="none" w:sz="0" w:space="0" w:color="auto"/>
        <w:bottom w:val="none" w:sz="0" w:space="0" w:color="auto"/>
        <w:right w:val="none" w:sz="0" w:space="0" w:color="auto"/>
      </w:divBdr>
    </w:div>
    <w:div w:id="1949434340">
      <w:bodyDiv w:val="1"/>
      <w:marLeft w:val="0"/>
      <w:marRight w:val="0"/>
      <w:marTop w:val="0"/>
      <w:marBottom w:val="0"/>
      <w:divBdr>
        <w:top w:val="none" w:sz="0" w:space="0" w:color="auto"/>
        <w:left w:val="none" w:sz="0" w:space="0" w:color="auto"/>
        <w:bottom w:val="none" w:sz="0" w:space="0" w:color="auto"/>
        <w:right w:val="none" w:sz="0" w:space="0" w:color="auto"/>
      </w:divBdr>
    </w:div>
    <w:div w:id="1997148321">
      <w:bodyDiv w:val="1"/>
      <w:marLeft w:val="0"/>
      <w:marRight w:val="0"/>
      <w:marTop w:val="0"/>
      <w:marBottom w:val="0"/>
      <w:divBdr>
        <w:top w:val="none" w:sz="0" w:space="0" w:color="auto"/>
        <w:left w:val="none" w:sz="0" w:space="0" w:color="auto"/>
        <w:bottom w:val="none" w:sz="0" w:space="0" w:color="auto"/>
        <w:right w:val="none" w:sz="0" w:space="0" w:color="auto"/>
      </w:divBdr>
    </w:div>
    <w:div w:id="2002074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2.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3.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4.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6.xml><?xml version="1.0" encoding="utf-8"?>
<ds:datastoreItem xmlns:ds="http://schemas.openxmlformats.org/officeDocument/2006/customXml" ds:itemID="{30A45E51-70E9-40AF-A52D-6FA42F27C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72</TotalTime>
  <Pages>12</Pages>
  <Words>4801</Words>
  <Characters>27371</Characters>
  <Application>Microsoft Office Word</Application>
  <DocSecurity>0</DocSecurity>
  <Lines>228</Lines>
  <Paragraphs>64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32108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Stephen Grant</cp:lastModifiedBy>
  <cp:revision>4</cp:revision>
  <cp:lastPrinted>2008-01-31T15:09:00Z</cp:lastPrinted>
  <dcterms:created xsi:type="dcterms:W3CDTF">2018-01-25T14:13:00Z</dcterms:created>
  <dcterms:modified xsi:type="dcterms:W3CDTF">2018-01-25T16:01:00Z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TitusGUID">
    <vt:lpwstr>2d1d409b-5dd4-4af3-b36c-77f1b6d34625</vt:lpwstr>
  </property>
  <property fmtid="{D5CDD505-2E9C-101B-9397-08002B2CF9AE}" pid="15" name="CTPClassification">
    <vt:lpwstr>CTP_NT</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1516665517</vt:lpwstr>
  </property>
</Properties>
</file>